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669"/>
        </w:tabs>
        <w:spacing w:after="0"/>
        <w:ind w:left="198"/>
        <w:rPr>
          <w:rFonts w:hint="eastAsia" w:eastAsia="仿宋_GB2312" w:cs="宋体"/>
          <w:sz w:val="52"/>
          <w:szCs w:val="52"/>
          <w:highlight w:val="none"/>
          <w:lang w:eastAsia="zh-CN"/>
        </w:rPr>
      </w:pPr>
    </w:p>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Unicode MS" w:hAnsi="Arial Unicode MS" w:eastAsia="Arial Unicode MS" w:cs="Arial Unicode MS"/>
          <w:sz w:val="44"/>
          <w:szCs w:val="44"/>
          <w:highlight w:val="none"/>
        </w:rPr>
      </w:pPr>
      <w:r>
        <w:rPr>
          <w:rFonts w:hint="eastAsia" w:ascii="Arial Unicode MS" w:hAnsi="Arial Unicode MS" w:eastAsia="Arial Unicode MS" w:cs="Arial Unicode MS"/>
          <w:sz w:val="44"/>
          <w:szCs w:val="44"/>
          <w:highlight w:val="none"/>
          <w:lang w:val="en-US" w:eastAsia="zh-CN"/>
        </w:rPr>
        <w:t>2024</w:t>
      </w:r>
      <w:r>
        <w:rPr>
          <w:rFonts w:hint="eastAsia" w:ascii="Arial Unicode MS" w:hAnsi="Arial Unicode MS" w:eastAsia="Arial Unicode MS" w:cs="Arial Unicode MS"/>
          <w:sz w:val="44"/>
          <w:szCs w:val="44"/>
          <w:highlight w:val="none"/>
        </w:rPr>
        <w:t>年度</w:t>
      </w:r>
      <w:r>
        <w:rPr>
          <w:rFonts w:hint="eastAsia" w:ascii="Arial Unicode MS" w:hAnsi="Arial Unicode MS" w:eastAsia="Arial Unicode MS" w:cs="Arial Unicode MS"/>
          <w:sz w:val="44"/>
          <w:szCs w:val="44"/>
          <w:highlight w:val="none"/>
          <w:u w:val="none"/>
          <w:lang w:val="en-US" w:eastAsia="zh-CN"/>
        </w:rPr>
        <w:t>呼和浩特乌兰夫研究中心</w:t>
      </w:r>
      <w:r>
        <w:rPr>
          <w:rFonts w:hint="eastAsia" w:ascii="Arial Unicode MS" w:hAnsi="Arial Unicode MS" w:eastAsia="Arial Unicode MS" w:cs="Arial Unicode MS"/>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日</w:t>
      </w: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 xml:space="preserve"> </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单位概况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二、单位机构设置及预算单位构成情况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年度单位主要工作任务及目标</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6"/>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0" w:name="_Toc30742"/>
      <w:r>
        <w:rPr>
          <w:rFonts w:hint="eastAsia" w:ascii="Arial Unicode MS" w:hAnsi="Arial Unicode MS" w:eastAsia="Arial Unicode MS" w:cs="Arial Unicode MS"/>
          <w:b w:val="0"/>
          <w:bCs w:val="0"/>
          <w:sz w:val="36"/>
          <w:szCs w:val="36"/>
          <w:highlight w:val="none"/>
        </w:rPr>
        <w:t>第一部分  单位概况</w:t>
      </w:r>
      <w:bookmarkEnd w:id="0"/>
    </w:p>
    <w:p>
      <w:pPr>
        <w:spacing w:line="600" w:lineRule="exact"/>
        <w:rPr>
          <w:rFonts w:ascii="Arial Unicode MS" w:hAnsi="Arial Unicode MS" w:eastAsia="Arial Unicode MS" w:cs="Arial Unicode MS"/>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pStyle w:val="2"/>
        <w:rPr>
          <w:rFonts w:hint="default" w:ascii="仿宋" w:hAnsi="仿宋" w:eastAsia="仿宋" w:cs="仿宋"/>
          <w:sz w:val="32"/>
          <w:szCs w:val="36"/>
        </w:rPr>
      </w:pPr>
      <w:r>
        <w:rPr>
          <w:rFonts w:ascii="仿宋" w:hAnsi="仿宋" w:eastAsia="仿宋" w:cs="仿宋"/>
          <w:sz w:val="32"/>
          <w:szCs w:val="36"/>
        </w:rPr>
        <w:t>（一）单位职能</w:t>
      </w:r>
    </w:p>
    <w:p>
      <w:pPr>
        <w:snapToGrid w:val="0"/>
        <w:spacing w:line="520" w:lineRule="exact"/>
        <w:ind w:left="319" w:leftChars="152" w:firstLine="640" w:firstLineChars="200"/>
        <w:rPr>
          <w:rFonts w:ascii="仿宋" w:hAnsi="仿宋" w:eastAsia="仿宋" w:cs="仿宋"/>
          <w:kern w:val="0"/>
          <w:sz w:val="32"/>
          <w:szCs w:val="36"/>
        </w:rPr>
      </w:pPr>
      <w:r>
        <w:rPr>
          <w:rFonts w:hint="eastAsia" w:ascii="仿宋" w:hAnsi="仿宋" w:eastAsia="仿宋" w:cs="仿宋"/>
          <w:kern w:val="0"/>
          <w:sz w:val="32"/>
          <w:szCs w:val="36"/>
        </w:rPr>
        <w:t>呼和浩特乌兰夫研究中心主要职能是对乌兰夫生平工作和乌兰夫相关历史事件等相关的研究工作。</w:t>
      </w:r>
    </w:p>
    <w:p>
      <w:pPr>
        <w:pStyle w:val="2"/>
        <w:rPr>
          <w:rFonts w:hint="default" w:ascii="仿宋" w:hAnsi="仿宋" w:eastAsia="仿宋" w:cs="仿宋"/>
          <w:sz w:val="32"/>
          <w:szCs w:val="36"/>
        </w:rPr>
      </w:pPr>
      <w:r>
        <w:rPr>
          <w:rFonts w:ascii="仿宋" w:hAnsi="仿宋" w:eastAsia="仿宋" w:cs="仿宋"/>
          <w:sz w:val="32"/>
          <w:szCs w:val="36"/>
        </w:rPr>
        <w:t>（二）部门（单位）主要职责</w:t>
      </w:r>
    </w:p>
    <w:p>
      <w:pPr>
        <w:spacing w:line="600" w:lineRule="exact"/>
        <w:ind w:firstLine="640" w:firstLineChars="200"/>
        <w:rPr>
          <w:rFonts w:eastAsia="仿宋_GB2312" w:cstheme="minorBidi"/>
          <w:sz w:val="32"/>
          <w:szCs w:val="32"/>
          <w:highlight w:val="none"/>
        </w:rPr>
      </w:pPr>
      <w:r>
        <w:rPr>
          <w:rFonts w:hint="eastAsia" w:ascii="仿宋" w:hAnsi="仿宋" w:eastAsia="仿宋"/>
          <w:sz w:val="32"/>
          <w:szCs w:val="32"/>
        </w:rPr>
        <w:t>呼和浩特乌兰夫研究中心主要职责是通过对馆藏文物资料的分析、整理工作，以及利用特邀研究员队伍及高校、社会力量，开展史料的征集等工作，加强对乌兰夫同志生平工作和与乌兰夫相关的历史事件等方面的研究工作，不断丰富馆藏和纪念馆展陈；向社会各界提供文物资料和研究成果，积极开展同有关部门和单位的学术交流活动；完成乌兰夫纪念馆交办的其他任务。</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部门（单位）机构设置及预算单位构成情况</w:t>
      </w:r>
    </w:p>
    <w:p>
      <w:pPr>
        <w:autoSpaceDE w:val="0"/>
        <w:autoSpaceDN w:val="0"/>
        <w:spacing w:before="100" w:after="100" w:line="580" w:lineRule="atLeast"/>
        <w:ind w:firstLine="600"/>
        <w:rPr>
          <w:rFonts w:ascii="仿宋_GB2312" w:hAnsi="仿宋" w:eastAsia="仿宋_GB2312"/>
          <w:sz w:val="32"/>
          <w:szCs w:val="32"/>
        </w:rPr>
      </w:pPr>
      <w:r>
        <w:rPr>
          <w:rFonts w:hint="eastAsia" w:eastAsia="仿宋_GB2312" w:cstheme="minorBidi"/>
          <w:sz w:val="32"/>
          <w:szCs w:val="32"/>
          <w:highlight w:val="none"/>
        </w:rPr>
        <w:t>1．</w:t>
      </w:r>
      <w:r>
        <w:rPr>
          <w:rFonts w:hint="eastAsia" w:eastAsia="仿宋_GB2312"/>
          <w:sz w:val="32"/>
          <w:szCs w:val="32"/>
        </w:rPr>
        <w:t>根据单位职责分工，</w:t>
      </w:r>
      <w:r>
        <w:rPr>
          <w:rFonts w:hint="eastAsia" w:ascii="仿宋_GB2312" w:eastAsia="仿宋_GB2312"/>
          <w:color w:val="000000" w:themeColor="text1"/>
          <w:sz w:val="32"/>
          <w:szCs w:val="32"/>
          <w14:textFill>
            <w14:solidFill>
              <w14:schemeClr w14:val="tx1"/>
            </w14:solidFill>
          </w14:textFill>
        </w:rPr>
        <w:t>呼和浩特乌兰夫研究中心</w:t>
      </w:r>
      <w:r>
        <w:rPr>
          <w:rFonts w:hint="eastAsia" w:eastAsia="仿宋_GB2312"/>
          <w:color w:val="000000" w:themeColor="text1"/>
          <w:sz w:val="32"/>
          <w:szCs w:val="32"/>
          <w14:textFill>
            <w14:solidFill>
              <w14:schemeClr w14:val="tx1"/>
            </w14:solidFill>
          </w14:textFill>
        </w:rPr>
        <w:t>属于二级事业单位，根据</w:t>
      </w:r>
      <w:r>
        <w:rPr>
          <w:rFonts w:hint="eastAsia" w:ascii="仿宋_GB2312" w:eastAsia="仿宋_GB2312"/>
          <w:color w:val="000000" w:themeColor="text1"/>
          <w:sz w:val="32"/>
          <w:szCs w:val="32"/>
          <w14:textFill>
            <w14:solidFill>
              <w14:schemeClr w14:val="tx1"/>
            </w14:solidFill>
          </w14:textFill>
        </w:rPr>
        <w:t>呼和浩特乌兰夫研究中心</w:t>
      </w:r>
      <w:r>
        <w:rPr>
          <w:rFonts w:hint="eastAsia" w:eastAsia="仿宋_GB2312"/>
          <w:color w:val="000000" w:themeColor="text1"/>
          <w:sz w:val="32"/>
          <w:szCs w:val="32"/>
          <w14:textFill>
            <w14:solidFill>
              <w14:schemeClr w14:val="tx1"/>
            </w14:solidFill>
          </w14:textFill>
        </w:rPr>
        <w:t>职责分工，</w:t>
      </w:r>
      <w:r>
        <w:rPr>
          <w:rFonts w:hint="eastAsia" w:ascii="仿宋_GB2312" w:hAnsi="仿宋" w:eastAsia="仿宋_GB2312"/>
          <w:color w:val="000000" w:themeColor="text1"/>
          <w:sz w:val="32"/>
          <w:szCs w:val="32"/>
          <w14:textFill>
            <w14:solidFill>
              <w14:schemeClr w14:val="tx1"/>
            </w14:solidFill>
          </w14:textFill>
        </w:rPr>
        <w:t>呼</w:t>
      </w:r>
      <w:r>
        <w:rPr>
          <w:rFonts w:hint="eastAsia" w:ascii="仿宋_GB2312" w:hAnsi="仿宋" w:eastAsia="仿宋_GB2312"/>
          <w:sz w:val="32"/>
          <w:szCs w:val="32"/>
        </w:rPr>
        <w:t>和浩特乌兰夫研究中心内设核定编制数</w:t>
      </w:r>
      <w:r>
        <w:rPr>
          <w:rFonts w:ascii="仿宋_GB2312" w:hAnsi="仿宋" w:eastAsia="仿宋_GB2312"/>
          <w:sz w:val="32"/>
          <w:szCs w:val="32"/>
        </w:rPr>
        <w:t>9</w:t>
      </w:r>
      <w:r>
        <w:rPr>
          <w:rFonts w:hint="eastAsia" w:ascii="仿宋_GB2312" w:hAnsi="仿宋" w:eastAsia="仿宋_GB2312"/>
          <w:sz w:val="32"/>
          <w:szCs w:val="32"/>
        </w:rPr>
        <w:t>名，科级领导2名（1正1副），实有人数</w:t>
      </w:r>
      <w:r>
        <w:rPr>
          <w:rFonts w:hint="eastAsia" w:ascii="仿宋_GB2312" w:hAnsi="仿宋" w:eastAsia="仿宋_GB2312"/>
          <w:sz w:val="32"/>
          <w:szCs w:val="32"/>
          <w:lang w:val="en-US" w:eastAsia="zh-CN"/>
        </w:rPr>
        <w:t>8</w:t>
      </w:r>
      <w:r>
        <w:rPr>
          <w:rFonts w:hint="eastAsia" w:ascii="仿宋_GB2312" w:hAnsi="仿宋" w:eastAsia="仿宋_GB2312"/>
          <w:sz w:val="32"/>
          <w:szCs w:val="32"/>
        </w:rPr>
        <w:t>人。本单位无下属单位。</w:t>
      </w:r>
    </w:p>
    <w:p>
      <w:pPr>
        <w:spacing w:line="360" w:lineRule="auto"/>
        <w:ind w:firstLine="640" w:firstLineChars="200"/>
        <w:rPr>
          <w:rFonts w:eastAsia="仿宋_GB2312"/>
          <w:sz w:val="32"/>
          <w:szCs w:val="32"/>
        </w:rPr>
      </w:pPr>
      <w:r>
        <w:rPr>
          <w:rFonts w:hint="eastAsia" w:eastAsia="仿宋_GB2312"/>
          <w:sz w:val="32"/>
          <w:szCs w:val="32"/>
          <w:lang w:val="en-US" w:eastAsia="zh-CN"/>
        </w:rPr>
        <w:t xml:space="preserve">2. </w:t>
      </w:r>
      <w:r>
        <w:rPr>
          <w:rFonts w:hint="eastAsia" w:eastAsia="仿宋_GB2312"/>
          <w:sz w:val="32"/>
          <w:szCs w:val="32"/>
        </w:rPr>
        <w:t>从预算单位构成看，纳入本单位</w:t>
      </w:r>
      <w:r>
        <w:rPr>
          <w:rFonts w:eastAsia="仿宋_GB2312"/>
          <w:b w:val="0"/>
          <w:bCs w:val="0"/>
          <w:sz w:val="32"/>
          <w:szCs w:val="32"/>
        </w:rPr>
        <w:t>202</w:t>
      </w:r>
      <w:r>
        <w:rPr>
          <w:rFonts w:hint="eastAsia" w:eastAsia="仿宋_GB2312"/>
          <w:b w:val="0"/>
          <w:bCs w:val="0"/>
          <w:sz w:val="32"/>
          <w:szCs w:val="32"/>
          <w:lang w:val="en-US" w:eastAsia="zh-CN"/>
        </w:rPr>
        <w:t>4</w:t>
      </w:r>
      <w:r>
        <w:rPr>
          <w:rFonts w:hint="eastAsia" w:eastAsia="仿宋_GB2312"/>
          <w:sz w:val="32"/>
          <w:szCs w:val="32"/>
        </w:rPr>
        <w:t>年部门汇总预算编制范围的预算单位共计</w:t>
      </w:r>
      <w:r>
        <w:rPr>
          <w:rFonts w:eastAsia="仿宋_GB2312"/>
          <w:sz w:val="32"/>
          <w:szCs w:val="32"/>
        </w:rPr>
        <w:t>1</w:t>
      </w:r>
      <w:r>
        <w:rPr>
          <w:rFonts w:hint="eastAsia" w:eastAsia="仿宋_GB2312"/>
          <w:sz w:val="32"/>
          <w:szCs w:val="32"/>
        </w:rPr>
        <w:t>家，具体包括：呼和浩特乌兰夫研究中心。</w:t>
      </w:r>
    </w:p>
    <w:p>
      <w:pPr>
        <w:pStyle w:val="2"/>
        <w:ind w:left="0" w:leftChars="0" w:firstLine="321" w:firstLineChars="100"/>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ascii="仿宋_GB2312" w:hAnsi="仿宋_GB2312" w:eastAsia="仿宋_GB2312" w:cs="仿宋_GB2312"/>
          <w:b/>
          <w:bCs/>
          <w:sz w:val="32"/>
          <w:szCs w:val="32"/>
        </w:rPr>
        <w:t>机构及人员基本情况</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呼和浩特乌兰夫研究中心是正科级公益一类事业单位，属于乌兰夫纪念馆下属的二级单位。</w:t>
      </w:r>
    </w:p>
    <w:p>
      <w:pPr>
        <w:spacing w:line="600" w:lineRule="exact"/>
        <w:ind w:firstLine="620" w:firstLineChars="200"/>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bidi="ar"/>
        </w:rPr>
        <w:t>公益一类事业编制9个，实有人数</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bidi="ar"/>
        </w:rPr>
        <w:t>人，其中：在职人员</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bidi="ar"/>
        </w:rPr>
        <w:t>人，离休人员0人、退休人员</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人，较上年在职人员增加</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bidi="ar"/>
        </w:rPr>
        <w:t>退休人员</w:t>
      </w:r>
      <w:r>
        <w:rPr>
          <w:rFonts w:hint="eastAsia" w:ascii="仿宋_GB2312" w:hAnsi="仿宋_GB2312" w:eastAsia="仿宋_GB2312" w:cs="仿宋_GB2312"/>
          <w:color w:val="000000"/>
          <w:kern w:val="0"/>
          <w:sz w:val="31"/>
          <w:szCs w:val="31"/>
          <w:lang w:val="en-US" w:eastAsia="zh-CN" w:bidi="ar"/>
        </w:rPr>
        <w:t>减少1</w:t>
      </w:r>
      <w:r>
        <w:rPr>
          <w:rFonts w:hint="eastAsia" w:ascii="仿宋_GB2312" w:hAnsi="仿宋_GB2312" w:eastAsia="仿宋_GB2312" w:cs="仿宋_GB2312"/>
          <w:color w:val="000000"/>
          <w:kern w:val="0"/>
          <w:sz w:val="31"/>
          <w:szCs w:val="31"/>
          <w:lang w:bidi="ar"/>
        </w:rPr>
        <w:t>人，主要原因为新增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退休人员去世1人。</w:t>
      </w:r>
    </w:p>
    <w:p>
      <w:pPr>
        <w:widowControl/>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eastAsia="zh-CN" w:bidi="ar"/>
        </w:rPr>
        <w:t>（</w:t>
      </w: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eastAsia="zh-CN" w:bidi="ar"/>
        </w:rPr>
        <w:t>）</w:t>
      </w:r>
      <w:r>
        <w:rPr>
          <w:rFonts w:hint="eastAsia" w:ascii="仿宋_GB2312" w:hAnsi="仿宋_GB2312" w:eastAsia="仿宋_GB2312" w:cs="仿宋_GB2312"/>
          <w:b/>
          <w:bCs/>
          <w:color w:val="000000"/>
          <w:kern w:val="0"/>
          <w:sz w:val="32"/>
          <w:szCs w:val="32"/>
          <w:lang w:bidi="ar"/>
        </w:rPr>
        <w:t xml:space="preserve">单位设置 </w:t>
      </w:r>
    </w:p>
    <w:p>
      <w:pPr>
        <w:pStyle w:val="2"/>
        <w:jc w:val="center"/>
        <w:rPr>
          <w:rFonts w:hint="default"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纳入本单位</w:t>
      </w:r>
      <w:r>
        <w:rPr>
          <w:rFonts w:hint="default" w:ascii="仿宋_GB2312" w:hAnsi="仿宋_GB2312" w:eastAsia="仿宋_GB2312" w:cs="仿宋_GB2312"/>
          <w:color w:val="000000"/>
          <w:sz w:val="32"/>
          <w:szCs w:val="32"/>
          <w:lang w:bidi="ar"/>
        </w:rPr>
        <w:t>202</w:t>
      </w:r>
      <w:r>
        <w:rPr>
          <w:rFonts w:hint="eastAsia" w:ascii="仿宋_GB2312" w:hAnsi="仿宋_GB2312" w:eastAsia="仿宋_GB2312" w:cs="仿宋_GB2312"/>
          <w:color w:val="000000"/>
          <w:sz w:val="32"/>
          <w:szCs w:val="32"/>
          <w:lang w:val="en-US" w:eastAsia="zh-CN" w:bidi="ar"/>
        </w:rPr>
        <w:t>4</w:t>
      </w:r>
      <w:r>
        <w:rPr>
          <w:rFonts w:ascii="仿宋_GB2312" w:hAnsi="仿宋_GB2312" w:eastAsia="仿宋_GB2312" w:cs="仿宋_GB2312"/>
          <w:color w:val="000000"/>
          <w:sz w:val="32"/>
          <w:szCs w:val="32"/>
          <w:lang w:bidi="ar"/>
        </w:rPr>
        <w:t>年部门预算编制范围的单位情况如下：</w:t>
      </w:r>
    </w:p>
    <w:p>
      <w:pPr>
        <w:pStyle w:val="2"/>
        <w:jc w:val="center"/>
        <w:rPr>
          <w:rFonts w:hint="default"/>
          <w:b/>
          <w:bCs/>
        </w:rPr>
      </w:pPr>
      <w:r>
        <w:rPr>
          <w:rFonts w:ascii="仿宋_GB2312" w:hAnsi="仿宋_GB2312" w:eastAsia="仿宋_GB2312" w:cs="仿宋_GB2312"/>
          <w:b/>
          <w:bCs/>
          <w:color w:val="000000"/>
          <w:sz w:val="32"/>
          <w:szCs w:val="32"/>
          <w:lang w:bidi="ar"/>
        </w:rPr>
        <w:t>单位情况表</w:t>
      </w:r>
    </w:p>
    <w:tbl>
      <w:tblPr>
        <w:tblStyle w:val="9"/>
        <w:tblpPr w:leftFromText="180" w:rightFromText="180" w:vertAnchor="text" w:horzAnchor="page" w:tblpX="2042"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00"/>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2"/>
              <w:ind w:left="0" w:leftChars="0" w:firstLine="0"/>
              <w:jc w:val="center"/>
              <w:rPr>
                <w:rFonts w:hint="default"/>
                <w:b/>
                <w:bCs/>
              </w:rPr>
            </w:pPr>
            <w:r>
              <w:rPr>
                <w:b/>
                <w:bCs/>
              </w:rPr>
              <w:t>序号</w:t>
            </w:r>
          </w:p>
        </w:tc>
        <w:tc>
          <w:tcPr>
            <w:tcW w:w="3600" w:type="dxa"/>
            <w:vAlign w:val="center"/>
          </w:tcPr>
          <w:p>
            <w:pPr>
              <w:pStyle w:val="2"/>
              <w:ind w:left="0" w:leftChars="0" w:firstLine="0"/>
              <w:jc w:val="center"/>
              <w:rPr>
                <w:rFonts w:hint="default"/>
                <w:b/>
                <w:bCs/>
              </w:rPr>
            </w:pPr>
            <w:r>
              <w:rPr>
                <w:b/>
                <w:bCs/>
              </w:rPr>
              <w:t>单位名称</w:t>
            </w:r>
          </w:p>
        </w:tc>
        <w:tc>
          <w:tcPr>
            <w:tcW w:w="3983" w:type="dxa"/>
            <w:vAlign w:val="center"/>
          </w:tcPr>
          <w:p>
            <w:pPr>
              <w:pStyle w:val="2"/>
              <w:ind w:left="0" w:leftChars="0" w:firstLine="0"/>
              <w:jc w:val="center"/>
              <w:rPr>
                <w:rFonts w:hint="default"/>
                <w:b/>
                <w:bCs/>
              </w:rPr>
            </w:pPr>
            <w:r>
              <w:rPr>
                <w:b/>
                <w:bCs/>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2"/>
              <w:ind w:left="0" w:leftChars="0" w:firstLine="0"/>
              <w:rPr>
                <w:rFonts w:hint="default"/>
              </w:rPr>
            </w:pPr>
            <w:r>
              <w:t>1</w:t>
            </w:r>
          </w:p>
        </w:tc>
        <w:tc>
          <w:tcPr>
            <w:tcW w:w="3600" w:type="dxa"/>
            <w:vAlign w:val="center"/>
          </w:tcPr>
          <w:p>
            <w:pPr>
              <w:pStyle w:val="2"/>
              <w:ind w:left="0" w:leftChars="0" w:firstLine="0"/>
              <w:jc w:val="both"/>
              <w:rPr>
                <w:rFonts w:hint="default"/>
              </w:rPr>
            </w:pPr>
            <w:r>
              <w:t>呼和浩特乌兰夫研究中心</w:t>
            </w:r>
          </w:p>
        </w:tc>
        <w:tc>
          <w:tcPr>
            <w:tcW w:w="3983" w:type="dxa"/>
            <w:vAlign w:val="center"/>
          </w:tcPr>
          <w:p>
            <w:pPr>
              <w:pStyle w:val="2"/>
              <w:ind w:left="0" w:leftChars="0" w:firstLine="0"/>
              <w:jc w:val="both"/>
              <w:rPr>
                <w:rFonts w:hint="default"/>
              </w:rPr>
            </w:pPr>
            <w:r>
              <w:rPr>
                <w:rFonts w:ascii="仿宋" w:hAnsi="仿宋" w:eastAsia="仿宋" w:cs="仿宋"/>
                <w:color w:val="000000"/>
                <w:sz w:val="31"/>
                <w:szCs w:val="31"/>
                <w:lang w:bidi="ar"/>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2"/>
              <w:ind w:left="0" w:leftChars="0" w:firstLine="0"/>
              <w:rPr>
                <w:rFonts w:hint="default"/>
              </w:rPr>
            </w:pPr>
            <w:r>
              <w:t>2</w:t>
            </w:r>
          </w:p>
        </w:tc>
        <w:tc>
          <w:tcPr>
            <w:tcW w:w="3600" w:type="dxa"/>
            <w:vAlign w:val="center"/>
          </w:tcPr>
          <w:p>
            <w:pPr>
              <w:pStyle w:val="2"/>
              <w:ind w:left="0" w:leftChars="0" w:firstLine="0"/>
              <w:jc w:val="both"/>
              <w:rPr>
                <w:rFonts w:hint="default"/>
              </w:rPr>
            </w:pPr>
          </w:p>
        </w:tc>
        <w:tc>
          <w:tcPr>
            <w:tcW w:w="3983" w:type="dxa"/>
            <w:vAlign w:val="center"/>
          </w:tcPr>
          <w:p>
            <w:pPr>
              <w:pStyle w:val="2"/>
              <w:ind w:left="0" w:leftChars="0" w:firstLine="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2"/>
              <w:ind w:left="0" w:leftChars="0" w:firstLine="0"/>
              <w:rPr>
                <w:rFonts w:hint="default"/>
              </w:rPr>
            </w:pPr>
            <w:r>
              <w:t>3</w:t>
            </w:r>
          </w:p>
        </w:tc>
        <w:tc>
          <w:tcPr>
            <w:tcW w:w="3600" w:type="dxa"/>
            <w:vAlign w:val="center"/>
          </w:tcPr>
          <w:p>
            <w:pPr>
              <w:pStyle w:val="2"/>
              <w:ind w:left="0" w:leftChars="0" w:firstLine="0"/>
              <w:jc w:val="both"/>
              <w:rPr>
                <w:rFonts w:hint="default"/>
              </w:rPr>
            </w:pPr>
          </w:p>
        </w:tc>
        <w:tc>
          <w:tcPr>
            <w:tcW w:w="3983" w:type="dxa"/>
            <w:vAlign w:val="center"/>
          </w:tcPr>
          <w:p>
            <w:pPr>
              <w:pStyle w:val="2"/>
              <w:ind w:left="0" w:leftChars="0" w:firstLine="0"/>
              <w:jc w:val="both"/>
              <w:rPr>
                <w:rFonts w:hint="default"/>
              </w:rPr>
            </w:pPr>
          </w:p>
        </w:tc>
      </w:tr>
    </w:tbl>
    <w:p>
      <w:pPr>
        <w:spacing w:line="600" w:lineRule="exact"/>
        <w:rPr>
          <w:rFonts w:eastAsia="仿宋_GB2312" w:cstheme="minorBidi"/>
          <w:sz w:val="32"/>
          <w:szCs w:val="32"/>
          <w:highlight w:val="none"/>
        </w:rPr>
      </w:pPr>
    </w:p>
    <w:p>
      <w:pPr>
        <w:numPr>
          <w:ilvl w:val="0"/>
          <w:numId w:val="0"/>
        </w:numPr>
        <w:spacing w:line="600" w:lineRule="exact"/>
        <w:ind w:firstLine="640" w:firstLineChars="200"/>
        <w:outlineLvl w:val="2"/>
        <w:rPr>
          <w:rFonts w:eastAsia="黑体" w:cs="黑体"/>
          <w:sz w:val="32"/>
          <w:szCs w:val="36"/>
          <w:highlight w:val="none"/>
        </w:rPr>
      </w:pPr>
      <w:r>
        <w:rPr>
          <w:rFonts w:hint="eastAsia" w:ascii="仿宋_GB2312" w:hAnsi="仿宋_GB2312" w:eastAsia="黑体" w:cs="黑体"/>
          <w:sz w:val="32"/>
          <w:szCs w:val="36"/>
          <w:highlight w:val="none"/>
          <w:lang w:val="en-US" w:eastAsia="zh-CN"/>
        </w:rPr>
        <w:t>三、</w:t>
      </w:r>
      <w:r>
        <w:rPr>
          <w:rFonts w:hint="eastAsia" w:ascii="仿宋_GB2312" w:hAnsi="仿宋_GB2312" w:eastAsia="黑体" w:cs="黑体"/>
          <w:b/>
          <w:bCs/>
          <w:sz w:val="32"/>
          <w:szCs w:val="36"/>
          <w:highlight w:val="none"/>
          <w:lang w:val="en-US" w:eastAsia="zh-CN"/>
        </w:rPr>
        <w:t>2024</w:t>
      </w:r>
      <w:r>
        <w:rPr>
          <w:rFonts w:hint="eastAsia" w:eastAsia="黑体" w:cs="黑体"/>
          <w:sz w:val="32"/>
          <w:szCs w:val="36"/>
          <w:highlight w:val="none"/>
        </w:rPr>
        <w:t>年度单位主要工作任务及目标</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呼和浩特乌兰夫研究中心主要工作任务及目标是通过对馆藏文物资料的分析、整理工作，以及利用特邀研究员队伍及高校、社会力量，开展史料的征集等工作，加强对乌兰夫同志生平工作和与乌兰夫相关的历史事件等方面的研究工作，不断丰富馆藏和纪念馆展陈；向社会各界提供文物资料和研究成果，积极开展同有关部门和单位的学术交流活动；完成乌兰夫纪念馆交办的其他任务。</w:t>
      </w:r>
    </w:p>
    <w:p>
      <w:pPr>
        <w:pStyle w:val="2"/>
        <w:rPr>
          <w:rFonts w:hint="default"/>
        </w:rPr>
        <w:sectPr>
          <w:footerReference r:id="rId5" w:type="default"/>
          <w:pgSz w:w="11906" w:h="16838"/>
          <w:pgMar w:top="1417" w:right="1417" w:bottom="1417" w:left="1417" w:header="851" w:footer="992" w:gutter="0"/>
          <w:pgNumType w:start="1"/>
          <w:cols w:space="425" w:num="1"/>
          <w:docGrid w:type="lines" w:linePitch="312" w:charSpace="0"/>
        </w:sectPr>
      </w:pPr>
    </w:p>
    <w:p>
      <w:pPr>
        <w:pStyle w:val="2"/>
        <w:spacing w:after="0"/>
        <w:ind w:left="0" w:leftChars="0" w:firstLine="0"/>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1" w:name="_Toc21288"/>
      <w:r>
        <w:rPr>
          <w:rFonts w:hint="eastAsia" w:ascii="Arial Unicode MS" w:hAnsi="Arial Unicode MS" w:eastAsia="Arial Unicode MS" w:cs="Arial Unicode MS"/>
          <w:b w:val="0"/>
          <w:bCs w:val="0"/>
          <w:sz w:val="36"/>
          <w:szCs w:val="36"/>
          <w:highlight w:val="none"/>
        </w:rPr>
        <w:t>第二部分</w:t>
      </w:r>
      <w:r>
        <w:rPr>
          <w:rFonts w:hint="eastAsia" w:ascii="Arial Unicode MS" w:hAnsi="Arial Unicode MS" w:eastAsia="Arial Unicode MS" w:cs="Arial Unicode MS"/>
          <w:b w:val="0"/>
          <w:bCs w:val="0"/>
          <w:sz w:val="36"/>
          <w:szCs w:val="36"/>
          <w:highlight w:val="none"/>
          <w:lang w:val="en-US" w:eastAsia="zh-CN"/>
        </w:rPr>
        <w:t xml:space="preserve">  2024</w:t>
      </w:r>
      <w:r>
        <w:rPr>
          <w:rFonts w:hint="eastAsia" w:ascii="Arial Unicode MS" w:hAnsi="Arial Unicode MS" w:eastAsia="Arial Unicode MS" w:cs="Arial Unicode MS"/>
          <w:b w:val="0"/>
          <w:bCs w:val="0"/>
          <w:sz w:val="36"/>
          <w:szCs w:val="36"/>
          <w:highlight w:val="none"/>
        </w:rPr>
        <w:t>年度单位预算情况说明</w:t>
      </w:r>
      <w:bookmarkEnd w:id="1"/>
    </w:p>
    <w:p>
      <w:pPr>
        <w:spacing w:line="600" w:lineRule="exact"/>
        <w:rPr>
          <w:rFonts w:ascii="Arial Unicode MS" w:hAnsi="Arial Unicode MS" w:eastAsia="Arial Unicode MS" w:cs="Arial Unicode MS"/>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6"/>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（依据“公开01表收支总表”中金额填列）</w:t>
      </w:r>
    </w:p>
    <w:p>
      <w:pPr>
        <w:pStyle w:val="6"/>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112.84</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none"/>
          <w:lang w:val="en-US" w:eastAsia="zh-CN"/>
        </w:rPr>
        <w:t>49.44</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val="en-US" w:eastAsia="zh-CN"/>
        </w:rPr>
        <w:t>77.98</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rPr>
        <w:t>%。其中：</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none"/>
        </w:rPr>
        <w:t xml:space="preserve"> </w:t>
      </w:r>
      <w:r>
        <w:rPr>
          <w:rFonts w:hint="eastAsia" w:eastAsia="仿宋_GB2312" w:cs="仿宋"/>
          <w:sz w:val="32"/>
          <w:szCs w:val="32"/>
          <w:highlight w:val="none"/>
          <w:u w:val="none"/>
          <w:lang w:val="en-US" w:eastAsia="zh-CN"/>
        </w:rPr>
        <w:t>112.84</w:t>
      </w:r>
      <w:r>
        <w:rPr>
          <w:rFonts w:hint="eastAsia" w:ascii="Times New Roman" w:hAnsi="Times New Roman" w:eastAsia="仿宋_GB2312" w:cs="仿宋"/>
          <w:sz w:val="32"/>
          <w:szCs w:val="32"/>
          <w:highlight w:val="none"/>
          <w:u w:val="none"/>
        </w:rPr>
        <w:t xml:space="preserve"> </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none"/>
        </w:rPr>
        <w:t xml:space="preserve"> </w:t>
      </w:r>
      <w:r>
        <w:rPr>
          <w:rFonts w:hint="eastAsia" w:eastAsia="仿宋_GB2312"/>
          <w:sz w:val="32"/>
          <w:szCs w:val="32"/>
          <w:highlight w:val="none"/>
          <w:u w:val="none"/>
          <w:lang w:val="en-US" w:eastAsia="zh-CN"/>
        </w:rPr>
        <w:t>112.84</w:t>
      </w:r>
      <w:r>
        <w:rPr>
          <w:rFonts w:eastAsia="仿宋_GB2312"/>
          <w:sz w:val="32"/>
          <w:szCs w:val="32"/>
          <w:highlight w:val="none"/>
          <w:u w:val="none"/>
        </w:rPr>
        <w:t xml:space="preserve"> </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112.84</w:t>
      </w:r>
      <w:r>
        <w:rPr>
          <w:rFonts w:eastAsia="仿宋_GB2312"/>
          <w:sz w:val="32"/>
          <w:szCs w:val="32"/>
          <w:highlight w:val="none"/>
          <w:u w:val="non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none"/>
          <w:lang w:val="en-US" w:eastAsia="zh-CN"/>
        </w:rPr>
        <w:t>49.44</w:t>
      </w:r>
      <w:r>
        <w:rPr>
          <w:rFonts w:eastAsia="仿宋_GB2312"/>
          <w:sz w:val="32"/>
          <w:szCs w:val="32"/>
          <w:highlight w:val="none"/>
          <w:u w:val="none"/>
        </w:rPr>
        <w:t xml:space="preserve">  </w:t>
      </w:r>
      <w:r>
        <w:rPr>
          <w:rFonts w:eastAsia="仿宋_GB2312"/>
          <w:sz w:val="32"/>
          <w:szCs w:val="32"/>
          <w:highlight w:val="none"/>
        </w:rPr>
        <w:t>万元，增长</w:t>
      </w:r>
      <w:r>
        <w:rPr>
          <w:rFonts w:eastAsia="仿宋_GB2312"/>
          <w:sz w:val="32"/>
          <w:szCs w:val="32"/>
          <w:highlight w:val="none"/>
          <w:u w:val="none"/>
        </w:rPr>
        <w:t xml:space="preserve">  </w:t>
      </w:r>
      <w:r>
        <w:rPr>
          <w:rFonts w:hint="eastAsia" w:eastAsia="仿宋_GB2312"/>
          <w:sz w:val="32"/>
          <w:szCs w:val="32"/>
          <w:highlight w:val="none"/>
          <w:u w:val="none"/>
          <w:lang w:val="en-US" w:eastAsia="zh-CN"/>
        </w:rPr>
        <w:t>77.98</w:t>
      </w:r>
      <w:r>
        <w:rPr>
          <w:rFonts w:eastAsia="仿宋_GB2312"/>
          <w:sz w:val="32"/>
          <w:szCs w:val="32"/>
          <w:highlight w:val="none"/>
          <w:u w:val="non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人员经费增加</w:t>
      </w:r>
      <w:r>
        <w:rPr>
          <w:rFonts w:eastAsia="仿宋_GB2312"/>
          <w:sz w:val="32"/>
          <w:szCs w:val="32"/>
          <w:highlight w:val="none"/>
        </w:rPr>
        <w:t>。</w:t>
      </w:r>
    </w:p>
    <w:p>
      <w:pPr>
        <w:pStyle w:val="6"/>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万元，增长</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万元，增长</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0.00</w:t>
      </w:r>
      <w:r>
        <w:rPr>
          <w:rFonts w:eastAsia="仿宋_GB2312"/>
          <w:sz w:val="32"/>
          <w:szCs w:val="32"/>
          <w:highlight w:val="none"/>
          <w:u w:val="non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u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u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4280"/>
          <w:tab w:val="left" w:pos="9431"/>
        </w:tabs>
        <w:spacing w:after="0" w:line="600" w:lineRule="exact"/>
        <w:ind w:firstLine="640" w:firstLineChars="200"/>
        <w:rPr>
          <w:rFonts w:ascii="仿宋_GB2312" w:hAnsi="仿宋_GB2312" w:eastAsia="仿宋_GB2312"/>
          <w:color w:val="FF0000"/>
          <w:sz w:val="32"/>
          <w:szCs w:val="24"/>
          <w:highlight w:val="none"/>
        </w:rPr>
      </w:pPr>
      <w:r>
        <w:rPr>
          <w:rFonts w:eastAsia="仿宋_GB2312"/>
          <w:sz w:val="32"/>
          <w:szCs w:val="32"/>
          <w:highlight w:val="none"/>
        </w:rPr>
        <w:t>2．上年结转结余</w:t>
      </w:r>
      <w:r>
        <w:rPr>
          <w:rFonts w:hint="eastAsia" w:eastAsia="仿宋_GB2312"/>
          <w:sz w:val="32"/>
          <w:szCs w:val="32"/>
          <w:highlight w:val="none"/>
          <w:u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none"/>
        </w:rPr>
        <w:t xml:space="preserve"> </w:t>
      </w:r>
      <w:r>
        <w:rPr>
          <w:rFonts w:hint="eastAsia" w:eastAsia="仿宋_GB2312" w:cs="仿宋"/>
          <w:sz w:val="32"/>
          <w:szCs w:val="32"/>
          <w:highlight w:val="none"/>
          <w:u w:val="none"/>
          <w:lang w:val="en-US" w:eastAsia="zh-CN"/>
        </w:rPr>
        <w:t>112.84</w:t>
      </w:r>
      <w:r>
        <w:rPr>
          <w:rFonts w:hint="eastAsia" w:ascii="Times New Roman" w:hAnsi="Times New Roman" w:eastAsia="仿宋_GB2312" w:cs="仿宋"/>
          <w:sz w:val="32"/>
          <w:szCs w:val="32"/>
          <w:highlight w:val="none"/>
          <w:u w:val="none"/>
        </w:rPr>
        <w:t xml:space="preserve"> </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none"/>
        </w:rPr>
        <w:t xml:space="preserve">  </w:t>
      </w:r>
      <w:r>
        <w:rPr>
          <w:rFonts w:hint="eastAsia" w:eastAsia="仿宋_GB2312"/>
          <w:sz w:val="32"/>
          <w:szCs w:val="32"/>
          <w:highlight w:val="none"/>
          <w:u w:val="none"/>
          <w:lang w:val="en-US" w:eastAsia="zh-CN"/>
        </w:rPr>
        <w:t>112.84</w:t>
      </w:r>
      <w:r>
        <w:rPr>
          <w:rFonts w:eastAsia="仿宋_GB2312"/>
          <w:sz w:val="32"/>
          <w:szCs w:val="32"/>
          <w:highlight w:val="none"/>
          <w:u w:val="none"/>
        </w:rPr>
        <w:t xml:space="preserve"> </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eastAsia="Times New Roman"/>
          <w:sz w:val="32"/>
          <w:szCs w:val="32"/>
        </w:rPr>
      </w:pPr>
      <w:r>
        <w:rPr>
          <w:rFonts w:hint="eastAsia" w:ascii="仿宋" w:hAnsi="仿宋" w:eastAsia="仿宋" w:cs="仿宋"/>
          <w:sz w:val="32"/>
          <w:szCs w:val="32"/>
        </w:rPr>
        <w:t>（1）</w:t>
      </w:r>
      <w:r>
        <w:rPr>
          <w:rFonts w:hint="eastAsia" w:ascii="仿宋_GB2312" w:eastAsia="仿宋_GB2312"/>
          <w:sz w:val="32"/>
          <w:szCs w:val="32"/>
        </w:rPr>
        <w:t>文化旅游体育与传媒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79.95</w:t>
      </w:r>
      <w:r>
        <w:rPr>
          <w:rFonts w:hint="eastAsia" w:ascii="仿宋" w:hAnsi="仿宋" w:eastAsia="仿宋" w:cs="仿宋"/>
          <w:sz w:val="32"/>
          <w:szCs w:val="32"/>
        </w:rPr>
        <w:t>万元，主要用于</w:t>
      </w:r>
      <w:r>
        <w:rPr>
          <w:rFonts w:hint="eastAsia" w:ascii="仿宋_GB2312" w:hAnsi="仿宋_GB2312" w:eastAsia="仿宋_GB2312"/>
          <w:sz w:val="32"/>
          <w:szCs w:val="32"/>
        </w:rPr>
        <w:t>支付在职人员工资、机构运转工作经费</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31.99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66.7</w:t>
      </w:r>
      <w:r>
        <w:rPr>
          <w:rFonts w:hint="eastAsia" w:ascii="仿宋" w:hAnsi="仿宋" w:eastAsia="仿宋" w:cs="仿宋"/>
          <w:sz w:val="32"/>
          <w:szCs w:val="32"/>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人员经费增加</w:t>
      </w:r>
      <w:r>
        <w:rPr>
          <w:rFonts w:eastAsia="仿宋_GB2312"/>
          <w:sz w:val="32"/>
          <w:szCs w:val="32"/>
          <w:highlight w:val="none"/>
        </w:rPr>
        <w:t>。</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ascii="仿宋" w:hAnsi="仿宋" w:eastAsia="仿宋" w:cs="仿宋"/>
          <w:sz w:val="32"/>
          <w:szCs w:val="32"/>
        </w:rPr>
        <w:t>（2）</w:t>
      </w:r>
      <w:r>
        <w:rPr>
          <w:rFonts w:hint="eastAsia" w:ascii="仿宋_GB2312" w:eastAsia="仿宋_GB2312"/>
          <w:sz w:val="32"/>
          <w:szCs w:val="32"/>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14.56</w:t>
      </w:r>
      <w:r>
        <w:rPr>
          <w:rFonts w:hint="eastAsia" w:ascii="仿宋" w:hAnsi="仿宋" w:eastAsia="仿宋" w:cs="仿宋"/>
          <w:sz w:val="32"/>
          <w:szCs w:val="32"/>
        </w:rPr>
        <w:t>万元，主要用于</w:t>
      </w:r>
      <w:r>
        <w:rPr>
          <w:rFonts w:hint="eastAsia" w:eastAsia="仿宋_GB2312"/>
          <w:sz w:val="32"/>
          <w:szCs w:val="32"/>
        </w:rPr>
        <w:t>支付机关事业单位基本养老保险、职业年金缴费</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5.33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57.75</w:t>
      </w:r>
      <w:r>
        <w:rPr>
          <w:rFonts w:hint="eastAsia" w:ascii="仿宋" w:hAnsi="仿宋" w:eastAsia="仿宋" w:cs="仿宋"/>
          <w:sz w:val="32"/>
          <w:szCs w:val="32"/>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ascii="仿宋_GB2312" w:eastAsia="仿宋_GB2312"/>
          <w:sz w:val="32"/>
          <w:szCs w:val="32"/>
        </w:rPr>
        <w:t>（3）卫生健康（类）支出</w:t>
      </w:r>
      <w:r>
        <w:rPr>
          <w:rFonts w:hint="eastAsia" w:ascii="仿宋_GB2312" w:eastAsia="仿宋_GB2312"/>
          <w:sz w:val="32"/>
          <w:szCs w:val="32"/>
          <w:lang w:val="en-US" w:eastAsia="zh-CN"/>
        </w:rPr>
        <w:t>3.80</w:t>
      </w:r>
      <w:r>
        <w:rPr>
          <w:rFonts w:hint="eastAsia" w:ascii="仿宋_GB2312" w:eastAsia="仿宋_GB2312"/>
          <w:sz w:val="32"/>
          <w:szCs w:val="32"/>
        </w:rPr>
        <w:t>万元，主要用于支付在职人员基本医疗保险、生育保险费。</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1.71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81.82</w:t>
      </w:r>
      <w:r>
        <w:rPr>
          <w:rFonts w:hint="eastAsia" w:ascii="仿宋" w:hAnsi="仿宋" w:eastAsia="仿宋" w:cs="仿宋"/>
          <w:sz w:val="32"/>
          <w:szCs w:val="32"/>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p>
    <w:p>
      <w:pPr>
        <w:pStyle w:val="6"/>
        <w:tabs>
          <w:tab w:val="left" w:pos="1389"/>
          <w:tab w:val="left" w:pos="4911"/>
          <w:tab w:val="left" w:pos="5898"/>
        </w:tabs>
        <w:spacing w:after="0" w:line="600" w:lineRule="exact"/>
        <w:ind w:firstLine="640" w:firstLineChars="200"/>
        <w:rPr>
          <w:rFonts w:ascii="Times New Roman" w:hAnsi="Times New Roman" w:eastAsia="仿宋_GB2312" w:cs="仿宋"/>
          <w:sz w:val="32"/>
          <w:szCs w:val="32"/>
          <w:highlight w:val="none"/>
        </w:rPr>
      </w:pPr>
      <w:r>
        <w:rPr>
          <w:rFonts w:hint="eastAsia" w:ascii="仿宋" w:hAnsi="仿宋" w:eastAsia="仿宋" w:cs="仿宋"/>
          <w:sz w:val="32"/>
          <w:szCs w:val="32"/>
        </w:rPr>
        <w:t>（4）</w:t>
      </w:r>
      <w:r>
        <w:rPr>
          <w:rFonts w:hint="eastAsia" w:ascii="仿宋_GB2312" w:eastAsia="仿宋_GB2312"/>
          <w:sz w:val="32"/>
          <w:szCs w:val="32"/>
        </w:rPr>
        <w:t>住房保障（类）支出</w:t>
      </w:r>
      <w:r>
        <w:rPr>
          <w:rFonts w:hint="eastAsia" w:ascii="仿宋_GB2312" w:eastAsia="仿宋_GB2312"/>
          <w:sz w:val="32"/>
          <w:szCs w:val="32"/>
          <w:lang w:val="en-US" w:eastAsia="zh-CN"/>
        </w:rPr>
        <w:t>14.53</w:t>
      </w:r>
      <w:r>
        <w:rPr>
          <w:rFonts w:hint="eastAsia" w:ascii="仿宋_GB2312" w:eastAsia="仿宋_GB2312"/>
          <w:sz w:val="32"/>
          <w:szCs w:val="32"/>
        </w:rPr>
        <w:t>万元，主要用于支付在职人员住房公积金。</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10.41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256.67</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p>
    <w:p>
      <w:pPr>
        <w:pStyle w:val="6"/>
        <w:tabs>
          <w:tab w:val="left" w:pos="4112"/>
        </w:tabs>
        <w:spacing w:after="0" w:line="560" w:lineRule="exact"/>
        <w:ind w:firstLine="640" w:firstLineChars="200"/>
        <w:rPr>
          <w:rFonts w:ascii="仿宋" w:hAnsi="仿宋" w:eastAsia="仿宋" w:cs="仿宋"/>
          <w:sz w:val="32"/>
          <w:szCs w:val="32"/>
        </w:rPr>
      </w:pPr>
      <w:r>
        <w:rPr>
          <w:rFonts w:eastAsia="仿宋_GB2312"/>
          <w:sz w:val="32"/>
          <w:szCs w:val="32"/>
          <w:highlight w:val="none"/>
        </w:rPr>
        <w:t>2．年终结转结余</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ascii="仿宋" w:hAnsi="仿宋" w:eastAsia="仿宋" w:cs="仿宋"/>
          <w:sz w:val="32"/>
          <w:szCs w:val="32"/>
        </w:rPr>
        <w:t>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ascii="仿宋" w:hAnsi="仿宋" w:eastAsia="仿宋" w:cs="仿宋"/>
          <w:sz w:val="32"/>
          <w:szCs w:val="32"/>
        </w:rPr>
        <w:t>.00</w:t>
      </w:r>
      <w:r>
        <w:rPr>
          <w:rFonts w:hint="eastAsia" w:ascii="仿宋" w:hAnsi="仿宋" w:eastAsia="仿宋" w:cs="仿宋"/>
          <w:sz w:val="32"/>
          <w:szCs w:val="32"/>
        </w:rPr>
        <w:t>%。与上年比较无变化。</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（反映部门（单位）年度总体收入预算情况。填列总数应</w:t>
      </w:r>
      <w:r>
        <w:rPr>
          <w:rFonts w:hint="eastAsia" w:ascii="Times New Roman" w:hAnsi="Times New Roman" w:eastAsia="仿宋_GB2312" w:cs="仿宋"/>
          <w:sz w:val="32"/>
          <w:szCs w:val="32"/>
          <w:highlight w:val="none"/>
          <w:lang w:val="en-US" w:eastAsia="zh-CN"/>
        </w:rPr>
        <w:t>与</w:t>
      </w:r>
      <w:r>
        <w:rPr>
          <w:rFonts w:hint="eastAsia" w:ascii="Times New Roman" w:hAnsi="Times New Roman" w:eastAsia="仿宋_GB2312" w:cs="仿宋"/>
          <w:sz w:val="32"/>
          <w:szCs w:val="32"/>
          <w:highlight w:val="none"/>
        </w:rPr>
        <w:t>“公开01表收支总表”的收入总计数一致。）</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112.84</w:t>
      </w:r>
      <w:r>
        <w:rPr>
          <w:rFonts w:eastAsia="仿宋_GB2312"/>
          <w:sz w:val="32"/>
          <w:szCs w:val="32"/>
          <w:highlight w:val="none"/>
        </w:rPr>
        <w:t>万元，包括本年收入</w:t>
      </w:r>
      <w:r>
        <w:rPr>
          <w:rFonts w:eastAsia="仿宋_GB2312"/>
          <w:sz w:val="32"/>
          <w:szCs w:val="32"/>
          <w:highlight w:val="none"/>
          <w:u w:val="none"/>
        </w:rPr>
        <w:t xml:space="preserve"> </w:t>
      </w:r>
      <w:r>
        <w:rPr>
          <w:rFonts w:hint="eastAsia" w:eastAsia="仿宋_GB2312"/>
          <w:sz w:val="32"/>
          <w:szCs w:val="32"/>
          <w:highlight w:val="none"/>
          <w:u w:val="none"/>
          <w:lang w:val="en-US" w:eastAsia="zh-CN"/>
        </w:rPr>
        <w:t>112.84</w:t>
      </w:r>
      <w:r>
        <w:rPr>
          <w:rFonts w:eastAsia="仿宋_GB2312"/>
          <w:sz w:val="32"/>
          <w:szCs w:val="32"/>
          <w:highlight w:val="none"/>
          <w:u w:val="none"/>
        </w:rPr>
        <w:t xml:space="preserve"> </w:t>
      </w:r>
      <w:r>
        <w:rPr>
          <w:rFonts w:eastAsia="仿宋_GB2312"/>
          <w:sz w:val="32"/>
          <w:szCs w:val="32"/>
          <w:highlight w:val="none"/>
        </w:rPr>
        <w:t>万元，上年结转结余</w:t>
      </w:r>
      <w:r>
        <w:rPr>
          <w:rFonts w:hint="eastAsia" w:eastAsia="仿宋_GB2312"/>
          <w:sz w:val="32"/>
          <w:szCs w:val="32"/>
          <w:highlight w:val="none"/>
          <w:lang w:val="en-US" w:eastAsia="zh-CN"/>
        </w:rPr>
        <w:t>0.00</w:t>
      </w:r>
      <w:r>
        <w:rPr>
          <w:rFonts w:eastAsia="仿宋_GB2312"/>
          <w:sz w:val="32"/>
          <w:szCs w:val="32"/>
          <w:highlight w:val="none"/>
        </w:rPr>
        <w:t>万元。其中：</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112.84</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hint="eastAsia"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none"/>
          <w:lang w:val="en-US" w:eastAsia="zh-CN"/>
        </w:rPr>
        <w:t>呼和浩特乌兰夫研究中心2024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112.84</w:t>
      </w:r>
      <w:r>
        <w:rPr>
          <w:rFonts w:eastAsia="仿宋_GB2312"/>
          <w:sz w:val="32"/>
          <w:szCs w:val="32"/>
          <w:highlight w:val="none"/>
        </w:rPr>
        <w:t>万元，其中</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none"/>
        </w:rPr>
        <w:t xml:space="preserve"> </w:t>
      </w:r>
      <w:r>
        <w:rPr>
          <w:rFonts w:hint="eastAsia" w:eastAsia="仿宋_GB2312"/>
          <w:sz w:val="32"/>
          <w:szCs w:val="32"/>
          <w:highlight w:val="none"/>
          <w:u w:val="none"/>
          <w:lang w:val="en-US" w:eastAsia="zh-CN"/>
        </w:rPr>
        <w:t>112.04</w:t>
      </w:r>
      <w:r>
        <w:rPr>
          <w:rFonts w:eastAsia="仿宋_GB2312"/>
          <w:sz w:val="32"/>
          <w:szCs w:val="32"/>
          <w:highlight w:val="none"/>
        </w:rPr>
        <w:t>万元，占</w:t>
      </w:r>
      <w:r>
        <w:rPr>
          <w:rFonts w:hint="eastAsia" w:eastAsia="仿宋_GB2312"/>
          <w:sz w:val="32"/>
          <w:szCs w:val="32"/>
          <w:highlight w:val="none"/>
          <w:lang w:val="en-US" w:eastAsia="zh-CN"/>
        </w:rPr>
        <w:t>99.29</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0.8</w:t>
      </w:r>
      <w:r>
        <w:rPr>
          <w:rFonts w:eastAsia="仿宋_GB2312"/>
          <w:sz w:val="32"/>
          <w:szCs w:val="32"/>
          <w:highlight w:val="none"/>
        </w:rPr>
        <w:t>万元，占</w:t>
      </w:r>
      <w:r>
        <w:rPr>
          <w:rFonts w:hint="eastAsia" w:eastAsia="仿宋_GB2312"/>
          <w:sz w:val="32"/>
          <w:szCs w:val="32"/>
          <w:highlight w:val="none"/>
          <w:lang w:val="en-US" w:eastAsia="zh-CN"/>
        </w:rPr>
        <w:t>0.71</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ind w:left="0" w:leftChars="0" w:firstLine="220"/>
        <w:jc w:val="center"/>
        <w:rPr>
          <w:rFonts w:hint="default"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eastAsia="仿宋_GB2312"/>
          <w:sz w:val="32"/>
          <w:szCs w:val="32"/>
          <w:highlight w:val="none"/>
        </w:rPr>
      </w:pPr>
    </w:p>
    <w:p>
      <w:pPr>
        <w:pStyle w:val="2"/>
        <w:ind w:left="0" w:leftChars="0" w:firstLine="22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2"/>
        <w:ind w:left="0" w:leftChars="0" w:firstLine="220"/>
        <w:jc w:val="center"/>
        <w:rPr>
          <w:rFonts w:hint="default" w:ascii="Times New Roman" w:hAnsi="Times New Roman" w:eastAsia="仿宋_GB2312" w:cs="仿宋"/>
          <w:sz w:val="32"/>
          <w:szCs w:val="32"/>
          <w:highlight w:val="none"/>
          <w:lang w:eastAsia="zh-CN"/>
        </w:rPr>
      </w:pPr>
      <w:r>
        <w:rPr>
          <w:rFonts w:hint="default"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（反映部门（单位）年度财政拨款总体收支预算情况）</w:t>
      </w:r>
    </w:p>
    <w:p>
      <w:pPr>
        <w:pStyle w:val="6"/>
        <w:tabs>
          <w:tab w:val="left" w:pos="1389"/>
          <w:tab w:val="left" w:pos="4911"/>
          <w:tab w:val="left" w:pos="5898"/>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eastAsia="仿宋_GB2312"/>
          <w:sz w:val="32"/>
          <w:szCs w:val="32"/>
          <w:highlight w:val="none"/>
        </w:rPr>
        <w:t>年度财政拨款收、支总预算</w:t>
      </w:r>
      <w:r>
        <w:rPr>
          <w:rFonts w:hint="eastAsia" w:eastAsia="仿宋_GB2312"/>
          <w:sz w:val="32"/>
          <w:szCs w:val="32"/>
          <w:highlight w:val="none"/>
          <w:lang w:val="en-US" w:eastAsia="zh-CN"/>
        </w:rPr>
        <w:t>112.84</w:t>
      </w:r>
      <w:r>
        <w:rPr>
          <w:rFonts w:eastAsia="仿宋_GB2312"/>
          <w:sz w:val="32"/>
          <w:szCs w:val="32"/>
          <w:highlight w:val="none"/>
        </w:rPr>
        <w:t>万元。与上年相比，财政拨款收、支总计各增加</w:t>
      </w:r>
      <w:r>
        <w:rPr>
          <w:rFonts w:hint="eastAsia" w:eastAsia="仿宋_GB2312"/>
          <w:sz w:val="32"/>
          <w:szCs w:val="32"/>
          <w:highlight w:val="none"/>
          <w:lang w:val="en-US" w:eastAsia="zh-CN"/>
        </w:rPr>
        <w:t>49.44</w:t>
      </w:r>
      <w:r>
        <w:rPr>
          <w:rFonts w:eastAsia="仿宋_GB2312"/>
          <w:sz w:val="32"/>
          <w:szCs w:val="32"/>
          <w:highlight w:val="none"/>
        </w:rPr>
        <w:t>万元，增长</w:t>
      </w:r>
      <w:r>
        <w:rPr>
          <w:rFonts w:hint="eastAsia" w:eastAsia="仿宋_GB2312"/>
          <w:sz w:val="32"/>
          <w:szCs w:val="32"/>
          <w:highlight w:val="none"/>
          <w:lang w:val="en-US" w:eastAsia="zh-CN"/>
        </w:rPr>
        <w:t>77.98</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人员经费增加</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（反映部门（单位）年度一般公共预算支出预算安排情况）</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112.84</w:t>
      </w:r>
      <w:r>
        <w:rPr>
          <w:rFonts w:eastAsia="仿宋_GB2312"/>
          <w:sz w:val="32"/>
          <w:szCs w:val="32"/>
          <w:highlight w:val="none"/>
        </w:rPr>
        <w:t>万元，与上年相比增加</w:t>
      </w:r>
      <w:r>
        <w:rPr>
          <w:rFonts w:hint="eastAsia" w:eastAsia="仿宋_GB2312"/>
          <w:sz w:val="32"/>
          <w:szCs w:val="32"/>
          <w:highlight w:val="none"/>
          <w:lang w:val="en-US" w:eastAsia="zh-CN"/>
        </w:rPr>
        <w:t>49.44</w:t>
      </w:r>
      <w:r>
        <w:rPr>
          <w:rFonts w:eastAsia="仿宋_GB2312"/>
          <w:sz w:val="32"/>
          <w:szCs w:val="32"/>
          <w:highlight w:val="none"/>
        </w:rPr>
        <w:t>万元，增长</w:t>
      </w:r>
      <w:r>
        <w:rPr>
          <w:rFonts w:hint="eastAsia" w:eastAsia="仿宋_GB2312"/>
          <w:sz w:val="32"/>
          <w:szCs w:val="32"/>
          <w:highlight w:val="none"/>
          <w:lang w:val="en-US" w:eastAsia="zh-CN"/>
        </w:rPr>
        <w:t>77.98</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rPr>
        <w:t>（一）</w:t>
      </w:r>
      <w:r>
        <w:rPr>
          <w:rFonts w:hint="eastAsia" w:ascii="仿宋_GB2312" w:eastAsia="仿宋_GB2312"/>
          <w:b/>
          <w:sz w:val="32"/>
          <w:szCs w:val="32"/>
        </w:rPr>
        <w:t>文化旅游体育与传媒</w:t>
      </w:r>
      <w:r>
        <w:rPr>
          <w:rFonts w:hint="eastAsia" w:eastAsia="仿宋_GB2312"/>
          <w:b/>
          <w:color w:val="000000"/>
          <w:sz w:val="32"/>
          <w:szCs w:val="32"/>
        </w:rPr>
        <w:t>（类）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文化旅游体育与传媒</w:t>
      </w:r>
      <w:r>
        <w:rPr>
          <w:rFonts w:hint="eastAsia" w:eastAsia="仿宋_GB2312"/>
          <w:sz w:val="32"/>
          <w:szCs w:val="32"/>
          <w:highlight w:val="none"/>
        </w:rPr>
        <w:t>类年初预算数为</w:t>
      </w:r>
      <w:r>
        <w:rPr>
          <w:rFonts w:hint="eastAsia" w:eastAsia="仿宋_GB2312"/>
          <w:sz w:val="32"/>
          <w:szCs w:val="32"/>
          <w:highlight w:val="none"/>
          <w:lang w:val="en-US" w:eastAsia="zh-CN"/>
        </w:rPr>
        <w:t>79.95</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31.99</w:t>
      </w:r>
      <w:r>
        <w:rPr>
          <w:rFonts w:eastAsia="仿宋_GB2312"/>
          <w:sz w:val="32"/>
          <w:szCs w:val="32"/>
          <w:highlight w:val="none"/>
        </w:rPr>
        <w:t>万元</w:t>
      </w:r>
      <w:r>
        <w:rPr>
          <w:rFonts w:hint="eastAsia" w:eastAsia="仿宋_GB2312"/>
          <w:sz w:val="32"/>
          <w:szCs w:val="32"/>
          <w:highlight w:val="none"/>
        </w:rPr>
        <w:t>。其中：</w:t>
      </w:r>
    </w:p>
    <w:p>
      <w:pPr>
        <w:pStyle w:val="6"/>
        <w:tabs>
          <w:tab w:val="left" w:pos="1389"/>
          <w:tab w:val="left" w:pos="4911"/>
          <w:tab w:val="left" w:pos="5898"/>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1.</w:t>
      </w:r>
      <w:r>
        <w:rPr>
          <w:rFonts w:hint="eastAsia" w:ascii="仿宋_GB2312" w:eastAsia="仿宋_GB2312"/>
          <w:sz w:val="32"/>
          <w:szCs w:val="32"/>
        </w:rPr>
        <w:t xml:space="preserve"> </w:t>
      </w:r>
      <w:r>
        <w:rPr>
          <w:rFonts w:hint="eastAsia" w:eastAsia="仿宋_GB2312"/>
          <w:color w:val="000000"/>
          <w:sz w:val="32"/>
          <w:szCs w:val="32"/>
        </w:rPr>
        <w:t>文化和旅游（款）文化展示及纪念机构（项）</w:t>
      </w:r>
      <w:r>
        <w:rPr>
          <w:rFonts w:eastAsia="仿宋_GB2312"/>
          <w:sz w:val="32"/>
          <w:szCs w:val="32"/>
          <w:highlight w:val="none"/>
        </w:rPr>
        <w:t>。年初预算</w:t>
      </w:r>
      <w:r>
        <w:rPr>
          <w:rFonts w:hint="eastAsia" w:eastAsia="仿宋_GB2312"/>
          <w:sz w:val="32"/>
          <w:szCs w:val="32"/>
          <w:highlight w:val="none"/>
          <w:lang w:val="en-US" w:eastAsia="zh-CN"/>
        </w:rPr>
        <w:t>79.95</w:t>
      </w:r>
      <w:r>
        <w:rPr>
          <w:rFonts w:eastAsia="仿宋_GB2312"/>
          <w:sz w:val="32"/>
          <w:szCs w:val="32"/>
          <w:highlight w:val="none"/>
        </w:rPr>
        <w:t>万元，与上年相比增加</w:t>
      </w:r>
      <w:r>
        <w:rPr>
          <w:rFonts w:hint="eastAsia" w:eastAsia="仿宋_GB2312"/>
          <w:sz w:val="32"/>
          <w:szCs w:val="32"/>
          <w:highlight w:val="none"/>
          <w:lang w:val="en-US" w:eastAsia="zh-CN"/>
        </w:rPr>
        <w:t>31.99</w:t>
      </w:r>
      <w:r>
        <w:rPr>
          <w:rFonts w:eastAsia="仿宋_GB2312"/>
          <w:sz w:val="32"/>
          <w:szCs w:val="32"/>
          <w:highlight w:val="none"/>
        </w:rPr>
        <w:t>万元，增长</w:t>
      </w:r>
      <w:r>
        <w:rPr>
          <w:rFonts w:hint="eastAsia" w:eastAsia="仿宋_GB2312"/>
          <w:sz w:val="32"/>
          <w:szCs w:val="32"/>
          <w:highlight w:val="none"/>
          <w:lang w:val="en-US" w:eastAsia="zh-CN"/>
        </w:rPr>
        <w:t>66.70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人员经费增加</w:t>
      </w:r>
      <w:r>
        <w:rPr>
          <w:rFonts w:eastAsia="仿宋_GB2312"/>
          <w:sz w:val="32"/>
          <w:szCs w:val="32"/>
          <w:highlight w:val="none"/>
        </w:rPr>
        <w:t>。</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rPr>
        <w:t>（二）</w:t>
      </w:r>
      <w:r>
        <w:rPr>
          <w:rFonts w:hint="eastAsia" w:eastAsia="仿宋_GB2312"/>
          <w:b/>
          <w:color w:val="000000"/>
          <w:sz w:val="32"/>
          <w:szCs w:val="32"/>
        </w:rPr>
        <w:t>社会保障和就业支出（类）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社会保障和就业支出</w:t>
      </w:r>
      <w:r>
        <w:rPr>
          <w:rFonts w:hint="eastAsia" w:eastAsia="仿宋_GB2312"/>
          <w:sz w:val="32"/>
          <w:szCs w:val="32"/>
          <w:highlight w:val="none"/>
        </w:rPr>
        <w:t>类年初预算数为</w:t>
      </w:r>
      <w:r>
        <w:rPr>
          <w:rFonts w:hint="eastAsia" w:eastAsia="仿宋_GB2312"/>
          <w:sz w:val="32"/>
          <w:szCs w:val="32"/>
          <w:highlight w:val="none"/>
          <w:lang w:val="en-US" w:eastAsia="zh-CN"/>
        </w:rPr>
        <w:t>14.56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5.33</w:t>
      </w:r>
      <w:r>
        <w:rPr>
          <w:rFonts w:eastAsia="仿宋_GB2312"/>
          <w:sz w:val="32"/>
          <w:szCs w:val="32"/>
          <w:highlight w:val="none"/>
        </w:rPr>
        <w:t>万元</w:t>
      </w:r>
      <w:r>
        <w:rPr>
          <w:rFonts w:hint="eastAsia" w:eastAsia="仿宋_GB2312"/>
          <w:sz w:val="32"/>
          <w:szCs w:val="32"/>
          <w:highlight w:val="none"/>
        </w:rPr>
        <w:t>。其中：</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color w:val="000000"/>
          <w:sz w:val="32"/>
          <w:szCs w:val="32"/>
        </w:rPr>
        <w:t>行政事业单位养老支出（款）机关事业单位基本养老保险缴费支出（项）</w:t>
      </w:r>
      <w:r>
        <w:rPr>
          <w:rFonts w:eastAsia="仿宋_GB2312"/>
          <w:sz w:val="32"/>
          <w:szCs w:val="32"/>
          <w:highlight w:val="none"/>
        </w:rPr>
        <w:t>。年初预算</w:t>
      </w:r>
      <w:r>
        <w:rPr>
          <w:rFonts w:hint="eastAsia" w:eastAsia="仿宋_GB2312"/>
          <w:sz w:val="32"/>
          <w:szCs w:val="32"/>
          <w:highlight w:val="none"/>
          <w:lang w:val="en-US" w:eastAsia="zh-CN"/>
        </w:rPr>
        <w:t>9.71</w:t>
      </w:r>
      <w:r>
        <w:rPr>
          <w:rFonts w:eastAsia="仿宋_GB2312"/>
          <w:sz w:val="32"/>
          <w:szCs w:val="32"/>
          <w:highlight w:val="none"/>
        </w:rPr>
        <w:t>万元，与上年相比增加</w:t>
      </w:r>
      <w:r>
        <w:rPr>
          <w:rFonts w:hint="eastAsia" w:eastAsia="仿宋_GB2312"/>
          <w:sz w:val="32"/>
          <w:szCs w:val="32"/>
          <w:highlight w:val="none"/>
          <w:lang w:val="en-US" w:eastAsia="zh-CN"/>
        </w:rPr>
        <w:t>4.36</w:t>
      </w:r>
      <w:r>
        <w:rPr>
          <w:rFonts w:eastAsia="仿宋_GB2312"/>
          <w:sz w:val="32"/>
          <w:szCs w:val="32"/>
          <w:highlight w:val="none"/>
        </w:rPr>
        <w:t>万元，增长</w:t>
      </w:r>
      <w:r>
        <w:rPr>
          <w:rFonts w:hint="eastAsia" w:eastAsia="仿宋_GB2312"/>
          <w:sz w:val="32"/>
          <w:szCs w:val="32"/>
          <w:highlight w:val="none"/>
          <w:lang w:val="en-US" w:eastAsia="zh-CN"/>
        </w:rPr>
        <w:t>81.50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w:t>
      </w:r>
      <w:r>
        <w:rPr>
          <w:rFonts w:hint="eastAsia" w:eastAsia="仿宋_GB2312"/>
          <w:color w:val="000000"/>
          <w:sz w:val="32"/>
          <w:szCs w:val="32"/>
        </w:rPr>
        <w:t>行政事业单位养老支出（款）机关事业单位职业年金缴费支出（项）</w:t>
      </w:r>
      <w:r>
        <w:rPr>
          <w:rFonts w:eastAsia="仿宋_GB2312"/>
          <w:sz w:val="32"/>
          <w:szCs w:val="32"/>
          <w:highlight w:val="none"/>
        </w:rPr>
        <w:t>年初预算</w:t>
      </w:r>
      <w:r>
        <w:rPr>
          <w:rFonts w:hint="eastAsia" w:eastAsia="仿宋_GB2312"/>
          <w:sz w:val="32"/>
          <w:szCs w:val="32"/>
          <w:highlight w:val="none"/>
          <w:lang w:val="en-US" w:eastAsia="zh-CN"/>
        </w:rPr>
        <w:t>4.85</w:t>
      </w:r>
      <w:r>
        <w:rPr>
          <w:rFonts w:eastAsia="仿宋_GB2312"/>
          <w:sz w:val="32"/>
          <w:szCs w:val="32"/>
          <w:highlight w:val="none"/>
        </w:rPr>
        <w:t>万元，与上年相比增加</w:t>
      </w:r>
      <w:r>
        <w:rPr>
          <w:rFonts w:hint="eastAsia" w:eastAsia="仿宋_GB2312"/>
          <w:sz w:val="32"/>
          <w:szCs w:val="32"/>
          <w:highlight w:val="none"/>
          <w:lang w:val="en-US" w:eastAsia="zh-CN"/>
        </w:rPr>
        <w:t>2.17</w:t>
      </w:r>
      <w:r>
        <w:rPr>
          <w:rFonts w:eastAsia="仿宋_GB2312"/>
          <w:sz w:val="32"/>
          <w:szCs w:val="32"/>
          <w:highlight w:val="none"/>
        </w:rPr>
        <w:t>万元，增长</w:t>
      </w:r>
      <w:r>
        <w:rPr>
          <w:rFonts w:hint="eastAsia" w:eastAsia="仿宋_GB2312"/>
          <w:sz w:val="32"/>
          <w:szCs w:val="32"/>
          <w:highlight w:val="none"/>
          <w:lang w:val="en-US" w:eastAsia="zh-CN"/>
        </w:rPr>
        <w:t>80.97</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eastAsia="仿宋_GB2312"/>
          <w:sz w:val="32"/>
          <w:szCs w:val="32"/>
          <w:highlight w:val="none"/>
        </w:rPr>
        <w:t>。</w:t>
      </w:r>
    </w:p>
    <w:p>
      <w:pPr>
        <w:pStyle w:val="6"/>
        <w:spacing w:after="0" w:line="560" w:lineRule="exact"/>
        <w:ind w:firstLine="643" w:firstLineChars="200"/>
        <w:rPr>
          <w:rFonts w:eastAsia="仿宋_GB2312"/>
          <w:b/>
          <w:color w:val="000000"/>
          <w:sz w:val="32"/>
          <w:szCs w:val="32"/>
        </w:rPr>
      </w:pPr>
      <w:r>
        <w:rPr>
          <w:rFonts w:hint="eastAsia" w:eastAsia="仿宋_GB2312"/>
          <w:b/>
          <w:color w:val="000000"/>
          <w:sz w:val="32"/>
          <w:szCs w:val="32"/>
        </w:rPr>
        <w:t>（三）卫生健康支出（类）</w:t>
      </w:r>
    </w:p>
    <w:p>
      <w:pPr>
        <w:pStyle w:val="6"/>
        <w:spacing w:after="0"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卫生健康支出类年初预算数为3.80万元，与上年相比增加1.71万元。其中：</w:t>
      </w:r>
    </w:p>
    <w:p>
      <w:pPr>
        <w:pStyle w:val="6"/>
        <w:numPr>
          <w:ilvl w:val="0"/>
          <w:numId w:val="2"/>
        </w:numPr>
        <w:spacing w:after="0" w:line="560" w:lineRule="exact"/>
        <w:ind w:firstLine="640" w:firstLineChars="200"/>
        <w:rPr>
          <w:rFonts w:hint="eastAsia" w:ascii="仿宋" w:hAnsi="仿宋" w:eastAsia="仿宋" w:cs="仿宋"/>
          <w:sz w:val="32"/>
          <w:szCs w:val="32"/>
        </w:rPr>
      </w:pPr>
      <w:r>
        <w:rPr>
          <w:rFonts w:hint="eastAsia" w:eastAsia="仿宋_GB2312"/>
          <w:color w:val="000000"/>
          <w:sz w:val="32"/>
          <w:szCs w:val="32"/>
        </w:rPr>
        <w:t>行政事业单位医疗（款）事业单位医疗（项）。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3.80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31.03</w:t>
      </w:r>
      <w:r>
        <w:rPr>
          <w:rFonts w:hint="eastAsia" w:ascii="仿宋" w:hAnsi="仿宋" w:eastAsia="仿宋" w:cs="仿宋"/>
          <w:sz w:val="32"/>
          <w:szCs w:val="32"/>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 w:hAnsi="仿宋" w:eastAsia="仿宋" w:cs="仿宋"/>
          <w:sz w:val="32"/>
          <w:szCs w:val="32"/>
        </w:rPr>
        <w:t>。</w:t>
      </w:r>
    </w:p>
    <w:p>
      <w:pPr>
        <w:pStyle w:val="6"/>
        <w:numPr>
          <w:ilvl w:val="0"/>
          <w:numId w:val="3"/>
        </w:numPr>
        <w:spacing w:after="0" w:line="560" w:lineRule="exact"/>
        <w:ind w:firstLine="643" w:firstLineChars="200"/>
        <w:rPr>
          <w:rFonts w:hint="eastAsia" w:eastAsia="仿宋_GB2312"/>
          <w:b/>
          <w:color w:val="000000"/>
          <w:sz w:val="32"/>
          <w:szCs w:val="32"/>
        </w:rPr>
      </w:pPr>
      <w:r>
        <w:rPr>
          <w:rFonts w:hint="eastAsia" w:eastAsia="仿宋_GB2312"/>
          <w:b/>
          <w:color w:val="000000"/>
          <w:sz w:val="32"/>
          <w:szCs w:val="32"/>
        </w:rPr>
        <w:t>住房保障支出（类）</w:t>
      </w:r>
    </w:p>
    <w:p>
      <w:pPr>
        <w:pStyle w:val="6"/>
        <w:spacing w:after="0" w:line="600" w:lineRule="exact"/>
        <w:ind w:firstLine="640" w:firstLineChars="200"/>
        <w:rPr>
          <w:rFonts w:hint="eastAsia" w:eastAsia="仿宋_GB2312"/>
          <w:sz w:val="32"/>
          <w:szCs w:val="32"/>
          <w:highlight w:val="none"/>
        </w:rPr>
      </w:pPr>
      <w:r>
        <w:rPr>
          <w:rFonts w:hint="eastAsia" w:eastAsia="仿宋_GB2312"/>
          <w:sz w:val="32"/>
          <w:szCs w:val="32"/>
          <w:highlight w:val="none"/>
          <w:lang w:val="en-US" w:eastAsia="zh-CN"/>
        </w:rPr>
        <w:t>住房保障支出</w:t>
      </w:r>
      <w:r>
        <w:rPr>
          <w:rFonts w:hint="eastAsia" w:eastAsia="仿宋_GB2312"/>
          <w:sz w:val="32"/>
          <w:szCs w:val="32"/>
          <w:highlight w:val="none"/>
        </w:rPr>
        <w:t>类年初预算数为</w:t>
      </w:r>
      <w:r>
        <w:rPr>
          <w:rFonts w:hint="eastAsia" w:eastAsia="仿宋_GB2312"/>
          <w:sz w:val="32"/>
          <w:szCs w:val="32"/>
          <w:highlight w:val="none"/>
          <w:lang w:val="en-US" w:eastAsia="zh-CN"/>
        </w:rPr>
        <w:t>14.53</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10.41</w:t>
      </w:r>
      <w:r>
        <w:rPr>
          <w:rFonts w:eastAsia="仿宋_GB2312"/>
          <w:sz w:val="32"/>
          <w:szCs w:val="32"/>
          <w:highlight w:val="none"/>
        </w:rPr>
        <w:t>万元</w:t>
      </w:r>
      <w:r>
        <w:rPr>
          <w:rFonts w:hint="eastAsia" w:eastAsia="仿宋_GB2312"/>
          <w:sz w:val="32"/>
          <w:szCs w:val="32"/>
          <w:highlight w:val="none"/>
        </w:rPr>
        <w:t>。其中：</w:t>
      </w:r>
    </w:p>
    <w:p>
      <w:pPr>
        <w:pStyle w:val="6"/>
        <w:numPr>
          <w:ilvl w:val="0"/>
          <w:numId w:val="4"/>
        </w:numPr>
        <w:spacing w:after="0" w:line="600" w:lineRule="exact"/>
        <w:ind w:firstLine="640" w:firstLineChars="200"/>
        <w:rPr>
          <w:rFonts w:hint="eastAsia" w:ascii="仿宋" w:hAnsi="仿宋" w:eastAsia="仿宋" w:cs="仿宋"/>
          <w:sz w:val="32"/>
          <w:szCs w:val="32"/>
        </w:rPr>
      </w:pPr>
      <w:r>
        <w:rPr>
          <w:rFonts w:hint="eastAsia" w:eastAsia="仿宋_GB2312"/>
          <w:color w:val="000000"/>
          <w:sz w:val="32"/>
          <w:szCs w:val="32"/>
        </w:rPr>
        <w:t>住房改革支出（款）住房公积金（项）。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8.85</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4.73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114.80</w:t>
      </w:r>
      <w:r>
        <w:rPr>
          <w:rFonts w:hint="eastAsia" w:ascii="仿宋" w:hAnsi="仿宋" w:eastAsia="仿宋" w:cs="仿宋"/>
          <w:sz w:val="32"/>
          <w:szCs w:val="32"/>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 w:hAnsi="仿宋" w:eastAsia="仿宋" w:cs="仿宋"/>
          <w:sz w:val="32"/>
          <w:szCs w:val="32"/>
        </w:rPr>
        <w:t>。</w:t>
      </w:r>
    </w:p>
    <w:p>
      <w:pPr>
        <w:pStyle w:val="6"/>
        <w:numPr>
          <w:ilvl w:val="0"/>
          <w:numId w:val="4"/>
        </w:numPr>
        <w:spacing w:after="0" w:line="600" w:lineRule="exact"/>
        <w:ind w:firstLine="640" w:firstLineChars="200"/>
        <w:rPr>
          <w:rFonts w:hint="eastAsia" w:ascii="仿宋" w:hAnsi="仿宋" w:eastAsia="仿宋" w:cs="仿宋"/>
          <w:sz w:val="32"/>
          <w:szCs w:val="32"/>
        </w:rPr>
      </w:pPr>
      <w:r>
        <w:rPr>
          <w:rFonts w:hint="eastAsia" w:eastAsia="仿宋_GB2312"/>
          <w:color w:val="000000"/>
          <w:sz w:val="32"/>
          <w:szCs w:val="32"/>
        </w:rPr>
        <w:t>住房改革支出（款）</w:t>
      </w:r>
      <w:r>
        <w:rPr>
          <w:rFonts w:hint="eastAsia" w:eastAsia="仿宋_GB2312"/>
          <w:color w:val="000000"/>
          <w:sz w:val="32"/>
          <w:szCs w:val="32"/>
          <w:lang w:val="en-US" w:eastAsia="zh-CN"/>
        </w:rPr>
        <w:t>购房补贴（项）。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5.68</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5.68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%。变动原因：</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w:t>
      </w:r>
      <w:r>
        <w:rPr>
          <w:rFonts w:hint="eastAsia" w:ascii="仿宋" w:hAnsi="仿宋" w:eastAsia="仿宋" w:cs="仿宋"/>
          <w:sz w:val="32"/>
          <w:szCs w:val="32"/>
        </w:rPr>
        <w:t>。</w:t>
      </w:r>
    </w:p>
    <w:p>
      <w:pPr>
        <w:spacing w:line="600" w:lineRule="exact"/>
        <w:ind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112.04</w:t>
      </w:r>
      <w:r>
        <w:rPr>
          <w:rFonts w:hint="eastAsia" w:ascii="Times New Roman" w:hAnsi="Times New Roman" w:eastAsia="仿宋_GB2312" w:cs="仿宋"/>
          <w:sz w:val="32"/>
          <w:szCs w:val="32"/>
          <w:highlight w:val="none"/>
        </w:rPr>
        <w:t>万元，其中：</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107.08</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。主要包括：基本工资、津贴补贴、绩效工资、住房公积金、医疗费、离休费、退休费、其他对个人和家庭的补助等。</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lang w:val="en-US" w:eastAsia="zh-CN"/>
        </w:rPr>
        <w:t>4.96</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。主要包括：办公费、工会经费、福利费、其他商品和服务支出</w:t>
      </w:r>
      <w:r>
        <w:rPr>
          <w:rFonts w:hint="eastAsia" w:eastAsia="仿宋_GB2312" w:cs="仿宋"/>
          <w:sz w:val="32"/>
          <w:szCs w:val="32"/>
          <w:highlight w:val="none"/>
          <w:lang w:eastAsia="zh-CN"/>
        </w:rPr>
        <w:t>、</w:t>
      </w:r>
      <w:r>
        <w:rPr>
          <w:rFonts w:hint="eastAsia" w:ascii="仿宋" w:hAnsi="仿宋" w:eastAsia="仿宋" w:cs="仿宋"/>
          <w:sz w:val="32"/>
          <w:szCs w:val="32"/>
        </w:rPr>
        <w:t>其他社会保险缴费、维修（护）费</w:t>
      </w:r>
      <w:r>
        <w:rPr>
          <w:rFonts w:hint="eastAsia" w:ascii="Times New Roman" w:hAnsi="Times New Roman" w:eastAsia="仿宋_GB2312" w:cs="仿宋"/>
          <w:sz w:val="32"/>
          <w:szCs w:val="32"/>
          <w:highlight w:val="none"/>
        </w:rPr>
        <w:t>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（反映部门（单位）年度一般公共预算资金安排的“三公”经费情况）</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0.00</w:t>
      </w:r>
      <w:r>
        <w:rPr>
          <w:rFonts w:eastAsia="仿宋_GB2312"/>
          <w:sz w:val="32"/>
          <w:szCs w:val="32"/>
          <w:highlight w:val="none"/>
        </w:rPr>
        <w:t>万元，其中因公出国（境）费支出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0.00</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lang w:val="en-US" w:eastAsia="zh-CN"/>
        </w:rPr>
        <w:t>0.00</w:t>
      </w:r>
      <w:r>
        <w:rPr>
          <w:rFonts w:eastAsia="仿宋_GB2312"/>
          <w:spacing w:val="-6"/>
          <w:sz w:val="32"/>
          <w:szCs w:val="32"/>
          <w:highlight w:val="none"/>
        </w:rPr>
        <w:t>万元，</w:t>
      </w:r>
      <w:r>
        <w:rPr>
          <w:rFonts w:eastAsia="仿宋_GB2312"/>
          <w:sz w:val="32"/>
          <w:szCs w:val="32"/>
          <w:highlight w:val="none"/>
        </w:rPr>
        <w:t>增长</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6"/>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eastAsia="仿宋_GB2312"/>
          <w:sz w:val="32"/>
          <w:szCs w:val="32"/>
          <w:highlight w:val="none"/>
          <w:lang w:val="en-US" w:eastAsia="zh-CN"/>
        </w:rPr>
        <w:t>与上年比较无变化</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lang w:val="en-US" w:eastAsia="zh-CN"/>
        </w:rPr>
        <w:t>0.00</w:t>
      </w:r>
      <w:r>
        <w:rPr>
          <w:rFonts w:eastAsia="仿宋_GB2312"/>
          <w:sz w:val="32"/>
          <w:szCs w:val="32"/>
          <w:highlight w:val="none"/>
        </w:rPr>
        <w:tab/>
      </w:r>
      <w:r>
        <w:rPr>
          <w:rFonts w:eastAsia="仿宋_GB2312"/>
          <w:sz w:val="32"/>
          <w:szCs w:val="32"/>
          <w:highlight w:val="none"/>
        </w:rPr>
        <w:t>万元。其中：</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eastAsia="仿宋_GB2312"/>
          <w:sz w:val="32"/>
          <w:szCs w:val="32"/>
          <w:highlight w:val="none"/>
          <w:lang w:val="en-US" w:eastAsia="zh-CN"/>
        </w:rPr>
        <w:t>与上年比较无变化</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eastAsia="仿宋_GB2312"/>
          <w:sz w:val="32"/>
          <w:szCs w:val="32"/>
          <w:highlight w:val="none"/>
          <w:lang w:val="en-US" w:eastAsia="zh-CN"/>
        </w:rPr>
        <w:t>与上年比较无变化</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与上年比较无变化</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6"/>
        <w:spacing w:after="0" w:line="560" w:lineRule="exact"/>
        <w:ind w:left="17" w:leftChars="8" w:firstLine="640" w:firstLineChars="200"/>
        <w:rPr>
          <w:rFonts w:ascii="仿宋" w:hAnsi="仿宋" w:eastAsia="仿宋" w:cs="仿宋"/>
          <w:sz w:val="32"/>
          <w:szCs w:val="32"/>
        </w:rPr>
      </w:pPr>
      <w:r>
        <w:rPr>
          <w:rFonts w:hint="eastAsia" w:ascii="仿宋" w:hAnsi="仿宋" w:eastAsia="仿宋" w:cs="仿宋"/>
          <w:sz w:val="32"/>
          <w:szCs w:val="32"/>
        </w:rPr>
        <w:t>呼和浩特乌兰夫研究中心</w:t>
      </w:r>
      <w:r>
        <w:rPr>
          <w:rFonts w:ascii="仿宋" w:hAnsi="仿宋" w:eastAsia="仿宋" w:cs="仿宋"/>
          <w:sz w:val="32"/>
          <w:szCs w:val="32"/>
        </w:rPr>
        <w:t>2023</w:t>
      </w:r>
      <w:r>
        <w:rPr>
          <w:rFonts w:hint="eastAsia" w:ascii="仿宋" w:hAnsi="仿宋" w:eastAsia="仿宋" w:cs="仿宋"/>
          <w:sz w:val="32"/>
          <w:szCs w:val="32"/>
        </w:rPr>
        <w:t>年政府性基金支出预算支出0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ascii="仿宋" w:hAnsi="仿宋" w:eastAsia="仿宋" w:cs="仿宋"/>
          <w:sz w:val="32"/>
          <w:szCs w:val="32"/>
        </w:rPr>
        <w:t>.00</w:t>
      </w:r>
      <w:r>
        <w:rPr>
          <w:rFonts w:hint="eastAsia" w:ascii="仿宋" w:hAnsi="仿宋" w:eastAsia="仿宋" w:cs="仿宋"/>
          <w:sz w:val="32"/>
          <w:szCs w:val="32"/>
        </w:rPr>
        <w:t>%。与上年比较无变化。</w:t>
      </w:r>
    </w:p>
    <w:p>
      <w:pPr>
        <w:pStyle w:val="6"/>
        <w:spacing w:after="0" w:line="560" w:lineRule="exact"/>
        <w:ind w:left="17" w:leftChars="8" w:firstLine="640" w:firstLineChars="200"/>
        <w:rPr>
          <w:rFonts w:ascii="Times New Roman" w:hAnsi="Times New Roman" w:eastAsia="仿宋_GB2312" w:cs="仿宋"/>
          <w:sz w:val="32"/>
          <w:szCs w:val="32"/>
          <w:highlight w:val="none"/>
        </w:rPr>
      </w:pPr>
      <w:r>
        <w:rPr>
          <w:rFonts w:hint="eastAsia" w:ascii="仿宋" w:hAnsi="仿宋" w:eastAsia="仿宋" w:cs="仿宋"/>
          <w:iCs/>
          <w:sz w:val="32"/>
          <w:szCs w:val="32"/>
        </w:rPr>
        <w:t>本年无政府性基金预算拨款支出</w:t>
      </w:r>
      <w:r>
        <w:rPr>
          <w:rFonts w:hint="eastAsia" w:ascii="仿宋" w:hAnsi="仿宋" w:eastAsia="仿宋" w:cs="仿宋"/>
          <w:sz w:val="32"/>
          <w:szCs w:val="32"/>
        </w:rPr>
        <w:t>。</w:t>
      </w:r>
    </w:p>
    <w:p>
      <w:pPr>
        <w:spacing w:line="600" w:lineRule="exact"/>
        <w:ind w:left="0" w:leftChars="0" w:firstLine="640" w:firstLineChars="200"/>
        <w:outlineLvl w:val="2"/>
        <w:rPr>
          <w:rFonts w:hint="eastAsia" w:eastAsia="仿宋_GB2312" w:cstheme="minorBidi"/>
          <w:sz w:val="32"/>
          <w:szCs w:val="32"/>
          <w:highlight w:val="none"/>
          <w:lang w:val="en-US" w:eastAsia="zh-CN"/>
        </w:rPr>
      </w:pPr>
      <w:r>
        <w:rPr>
          <w:rFonts w:hint="eastAsia" w:eastAsia="黑体" w:cs="黑体"/>
          <w:sz w:val="32"/>
          <w:szCs w:val="36"/>
          <w:highlight w:val="none"/>
        </w:rPr>
        <w:t>九、国有资本经营预算支出预算情况说明</w:t>
      </w:r>
    </w:p>
    <w:p>
      <w:pPr>
        <w:spacing w:line="560" w:lineRule="exact"/>
        <w:ind w:firstLine="640" w:firstLineChars="200"/>
        <w:rPr>
          <w:rFonts w:eastAsia="仿宋_GB2312"/>
          <w:sz w:val="32"/>
          <w:szCs w:val="32"/>
        </w:rPr>
      </w:pPr>
      <w:r>
        <w:rPr>
          <w:rFonts w:hint="eastAsia" w:eastAsia="仿宋_GB2312"/>
          <w:sz w:val="32"/>
          <w:szCs w:val="32"/>
        </w:rPr>
        <w:t>呼和浩特乌兰夫研究中心</w:t>
      </w:r>
      <w:r>
        <w:rPr>
          <w:rFonts w:eastAsia="仿宋_GB2312"/>
          <w:sz w:val="32"/>
          <w:szCs w:val="32"/>
        </w:rPr>
        <w:t>2023</w:t>
      </w:r>
      <w:r>
        <w:rPr>
          <w:rFonts w:hint="eastAsia" w:eastAsia="仿宋_GB2312"/>
          <w:sz w:val="32"/>
          <w:szCs w:val="32"/>
        </w:rPr>
        <w:t>年国有资本经营预算支出0</w:t>
      </w:r>
      <w:r>
        <w:rPr>
          <w:rFonts w:eastAsia="仿宋_GB2312"/>
          <w:sz w:val="32"/>
          <w:szCs w:val="32"/>
        </w:rPr>
        <w:t>.00</w:t>
      </w:r>
      <w:r>
        <w:rPr>
          <w:rFonts w:hint="eastAsia" w:eastAsia="仿宋_GB2312"/>
          <w:sz w:val="32"/>
          <w:szCs w:val="32"/>
        </w:rPr>
        <w:t>万元。与上年相比增加0</w:t>
      </w:r>
      <w:r>
        <w:rPr>
          <w:rFonts w:eastAsia="仿宋_GB2312"/>
          <w:sz w:val="32"/>
          <w:szCs w:val="32"/>
        </w:rPr>
        <w:t>.00</w:t>
      </w:r>
      <w:r>
        <w:rPr>
          <w:rFonts w:hint="eastAsia" w:eastAsia="仿宋_GB2312"/>
          <w:sz w:val="32"/>
          <w:szCs w:val="32"/>
        </w:rPr>
        <w:t>万元，增长0</w:t>
      </w:r>
      <w:r>
        <w:rPr>
          <w:rFonts w:eastAsia="仿宋_GB2312"/>
          <w:sz w:val="32"/>
          <w:szCs w:val="32"/>
        </w:rPr>
        <w:t>.00</w:t>
      </w:r>
      <w:r>
        <w:rPr>
          <w:rFonts w:hint="eastAsia" w:eastAsia="仿宋_GB2312"/>
          <w:sz w:val="32"/>
          <w:szCs w:val="32"/>
        </w:rPr>
        <w:t>%。与上年比较无变化。</w:t>
      </w:r>
    </w:p>
    <w:p>
      <w:pPr>
        <w:spacing w:line="560" w:lineRule="exact"/>
        <w:ind w:firstLine="640" w:firstLineChars="200"/>
        <w:rPr>
          <w:rFonts w:eastAsia="仿宋_GB2312"/>
          <w:sz w:val="32"/>
          <w:szCs w:val="32"/>
        </w:rPr>
      </w:pPr>
      <w:r>
        <w:rPr>
          <w:rFonts w:hint="eastAsia" w:ascii="仿宋" w:hAnsi="仿宋" w:eastAsia="仿宋" w:cs="仿宋"/>
          <w:iCs/>
          <w:sz w:val="32"/>
          <w:szCs w:val="32"/>
        </w:rPr>
        <w:t>本年无国有资本经营预算拨款支出</w:t>
      </w:r>
      <w:r>
        <w:rPr>
          <w:rFonts w:hint="eastAsia" w:ascii="仿宋" w:hAnsi="仿宋" w:eastAsia="仿宋" w:cs="仿宋"/>
          <w:sz w:val="32"/>
          <w:szCs w:val="32"/>
        </w:rPr>
        <w:t>。</w:t>
      </w:r>
    </w:p>
    <w:p>
      <w:pPr>
        <w:spacing w:line="600" w:lineRule="exact"/>
        <w:ind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eastAsia="仿宋_GB2312"/>
          <w:sz w:val="32"/>
          <w:szCs w:val="32"/>
          <w:highlight w:val="none"/>
        </w:rPr>
        <w:t>年度预算安排项目</w:t>
      </w:r>
      <w:r>
        <w:rPr>
          <w:rFonts w:hint="eastAsia" w:eastAsia="仿宋_GB2312"/>
          <w:sz w:val="32"/>
          <w:szCs w:val="32"/>
          <w:highlight w:val="none"/>
          <w:lang w:val="en-US" w:eastAsia="zh-CN"/>
        </w:rPr>
        <w:t>1</w:t>
      </w:r>
      <w:r>
        <w:rPr>
          <w:rFonts w:eastAsia="仿宋_GB2312"/>
          <w:sz w:val="32"/>
          <w:szCs w:val="32"/>
          <w:highlight w:val="none"/>
        </w:rPr>
        <w:t>个，项目预算总金额</w:t>
      </w:r>
      <w:r>
        <w:rPr>
          <w:rFonts w:hint="eastAsia" w:eastAsia="仿宋_GB2312"/>
          <w:sz w:val="32"/>
          <w:szCs w:val="32"/>
          <w:highlight w:val="none"/>
          <w:lang w:val="en-US" w:eastAsia="zh-CN"/>
        </w:rPr>
        <w:t>0.8</w:t>
      </w:r>
      <w:r>
        <w:rPr>
          <w:rFonts w:eastAsia="仿宋_GB2312"/>
          <w:sz w:val="32"/>
          <w:szCs w:val="32"/>
          <w:highlight w:val="none"/>
          <w:u w:val="single"/>
        </w:rPr>
        <w:tab/>
      </w:r>
      <w:r>
        <w:rPr>
          <w:rFonts w:eastAsia="仿宋_GB2312"/>
          <w:sz w:val="32"/>
          <w:szCs w:val="32"/>
          <w:highlight w:val="none"/>
        </w:rPr>
        <w:t>万元。其中，财政本年拨款金额</w:t>
      </w:r>
      <w:r>
        <w:rPr>
          <w:rFonts w:eastAsia="仿宋_GB2312"/>
          <w:sz w:val="32"/>
          <w:szCs w:val="32"/>
          <w:highlight w:val="none"/>
          <w:u w:val="none"/>
        </w:rPr>
        <w:t xml:space="preserve"> </w:t>
      </w:r>
      <w:r>
        <w:rPr>
          <w:rFonts w:hint="eastAsia" w:eastAsia="仿宋_GB2312"/>
          <w:sz w:val="32"/>
          <w:szCs w:val="32"/>
          <w:highlight w:val="none"/>
          <w:u w:val="none"/>
          <w:lang w:val="en-US" w:eastAsia="zh-CN"/>
        </w:rPr>
        <w:t>0.8</w:t>
      </w:r>
      <w:r>
        <w:rPr>
          <w:rFonts w:eastAsia="仿宋_GB2312"/>
          <w:sz w:val="32"/>
          <w:szCs w:val="32"/>
          <w:highlight w:val="none"/>
        </w:rPr>
        <w:t>万元，财政拨款结转结余</w:t>
      </w:r>
      <w:r>
        <w:rPr>
          <w:rFonts w:hint="eastAsia" w:eastAsia="仿宋_GB2312"/>
          <w:sz w:val="32"/>
          <w:szCs w:val="32"/>
          <w:highlight w:val="none"/>
          <w:lang w:val="en-US" w:eastAsia="zh-CN"/>
        </w:rPr>
        <w:t>0.00</w:t>
      </w:r>
      <w:r>
        <w:rPr>
          <w:rFonts w:eastAsia="仿宋_GB2312"/>
          <w:sz w:val="32"/>
          <w:szCs w:val="32"/>
          <w:highlight w:val="none"/>
        </w:rPr>
        <w:t>万元，财政专户管理资金</w:t>
      </w:r>
      <w:r>
        <w:rPr>
          <w:rFonts w:hint="eastAsia" w:eastAsia="仿宋_GB2312"/>
          <w:sz w:val="32"/>
          <w:szCs w:val="32"/>
          <w:highlight w:val="none"/>
          <w:lang w:val="en-US" w:eastAsia="zh-CN"/>
        </w:rPr>
        <w:t>0.00</w:t>
      </w:r>
      <w:r>
        <w:rPr>
          <w:rFonts w:eastAsia="仿宋_GB2312"/>
          <w:sz w:val="32"/>
          <w:szCs w:val="32"/>
          <w:highlight w:val="none"/>
        </w:rPr>
        <w:t>万元，单位资金</w:t>
      </w:r>
      <w:r>
        <w:rPr>
          <w:rFonts w:hint="eastAsia" w:eastAsia="仿宋_GB2312"/>
          <w:sz w:val="32"/>
          <w:szCs w:val="32"/>
          <w:highlight w:val="none"/>
          <w:lang w:val="en-US" w:eastAsia="zh-CN"/>
        </w:rPr>
        <w:t>0.00</w:t>
      </w:r>
      <w:r>
        <w:rPr>
          <w:rFonts w:eastAsia="仿宋_GB2312"/>
          <w:sz w:val="32"/>
          <w:szCs w:val="32"/>
          <w:highlight w:val="none"/>
        </w:rPr>
        <w:t>万元。</w:t>
      </w:r>
    </w:p>
    <w:p>
      <w:pPr>
        <w:spacing w:line="600" w:lineRule="exact"/>
        <w:ind w:firstLine="640" w:firstLineChars="200"/>
        <w:rPr>
          <w:rFonts w:eastAsia="仿宋_GB2312" w:cstheme="minorBidi"/>
          <w:sz w:val="32"/>
          <w:szCs w:val="32"/>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pStyle w:val="6"/>
        <w:numPr>
          <w:numId w:val="0"/>
        </w:numPr>
        <w:spacing w:after="0" w:line="600" w:lineRule="exact"/>
        <w:ind w:firstLine="640" w:firstLineChars="200"/>
        <w:rPr>
          <w:rFonts w:hint="eastAsia" w:ascii="仿宋" w:hAnsi="仿宋" w:eastAsia="仿宋" w:cs="仿宋"/>
          <w:sz w:val="32"/>
          <w:szCs w:val="32"/>
        </w:rPr>
      </w:pPr>
      <w:r>
        <w:rPr>
          <w:rFonts w:hint="eastAsia" w:ascii="仿宋_GB2312" w:hAnsi="仿宋_GB2312" w:eastAsia="仿宋_GB2312" w:cs="仿宋"/>
          <w:sz w:val="32"/>
          <w:szCs w:val="32"/>
          <w:highlight w:val="none"/>
          <w:u w:val="none"/>
          <w:lang w:val="en-US" w:eastAsia="zh-CN"/>
        </w:rPr>
        <w:t>呼和浩特乌兰夫研究中心2024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4.96</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hint="eastAsia" w:eastAsia="仿宋_GB2312"/>
          <w:sz w:val="32"/>
          <w:szCs w:val="32"/>
          <w:highlight w:val="none"/>
          <w:lang w:val="en-US" w:eastAsia="zh-CN"/>
        </w:rPr>
        <w:t>2.33</w:t>
      </w:r>
      <w:r>
        <w:rPr>
          <w:rFonts w:eastAsia="仿宋_GB2312"/>
          <w:sz w:val="32"/>
          <w:szCs w:val="32"/>
          <w:highlight w:val="none"/>
        </w:rPr>
        <w:t>万元，增长</w:t>
      </w:r>
      <w:r>
        <w:rPr>
          <w:rFonts w:hint="eastAsia" w:eastAsia="仿宋_GB2312"/>
          <w:sz w:val="32"/>
          <w:szCs w:val="32"/>
          <w:highlight w:val="none"/>
          <w:lang w:val="en-US" w:eastAsia="zh-CN"/>
        </w:rPr>
        <w:t>88.59</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s="仿宋_GB2312"/>
          <w:color w:val="000000"/>
          <w:kern w:val="0"/>
          <w:sz w:val="31"/>
          <w:szCs w:val="31"/>
          <w:lang w:bidi="ar"/>
        </w:rPr>
        <w:t>新增</w:t>
      </w:r>
      <w:r>
        <w:rPr>
          <w:rFonts w:hint="eastAsia" w:ascii="仿宋_GB2312" w:hAnsi="仿宋_GB2312" w:eastAsia="仿宋_GB2312" w:cs="仿宋_GB2312"/>
          <w:color w:val="000000"/>
          <w:kern w:val="0"/>
          <w:sz w:val="31"/>
          <w:szCs w:val="31"/>
          <w:lang w:val="en-US" w:eastAsia="zh-CN" w:bidi="ar"/>
        </w:rPr>
        <w:t>考录人员3</w:t>
      </w:r>
      <w:r>
        <w:rPr>
          <w:rFonts w:hint="eastAsia" w:ascii="仿宋_GB2312" w:hAnsi="仿宋_GB2312" w:eastAsia="仿宋_GB2312" w:cs="仿宋_GB2312"/>
          <w:color w:val="000000"/>
          <w:kern w:val="0"/>
          <w:sz w:val="31"/>
          <w:szCs w:val="31"/>
          <w:lang w:bidi="ar"/>
        </w:rPr>
        <w:t>人</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人才引进1人，人员经费增加</w:t>
      </w:r>
      <w:r>
        <w:rPr>
          <w:rFonts w:hint="eastAsia" w:ascii="仿宋" w:hAnsi="仿宋" w:eastAsia="仿宋" w:cs="仿宋"/>
          <w:sz w:val="32"/>
          <w:szCs w:val="32"/>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eastAsia="仿宋_GB2312"/>
          <w:sz w:val="32"/>
          <w:szCs w:val="32"/>
          <w:highlight w:val="none"/>
        </w:rPr>
        <w:t>年度政府采购支出预算总额</w:t>
      </w:r>
      <w:r>
        <w:rPr>
          <w:rFonts w:hint="eastAsia" w:eastAsia="仿宋_GB2312"/>
          <w:sz w:val="32"/>
          <w:szCs w:val="32"/>
          <w:highlight w:val="none"/>
          <w:u w:val="none"/>
          <w:lang w:val="en-US" w:eastAsia="zh-CN"/>
        </w:rPr>
        <w:t>0.00</w:t>
      </w:r>
      <w:r>
        <w:rPr>
          <w:rFonts w:eastAsia="仿宋_GB2312"/>
          <w:sz w:val="32"/>
          <w:szCs w:val="32"/>
          <w:highlight w:val="none"/>
        </w:rPr>
        <w:t>万元，其中：拟采购货物支出</w:t>
      </w:r>
      <w:r>
        <w:rPr>
          <w:rFonts w:eastAsia="仿宋_GB2312"/>
          <w:sz w:val="32"/>
          <w:szCs w:val="32"/>
          <w:highlight w:val="none"/>
          <w:u w:val="none"/>
        </w:rPr>
        <w:tab/>
      </w:r>
      <w:r>
        <w:rPr>
          <w:rFonts w:hint="eastAsia" w:eastAsia="仿宋_GB2312"/>
          <w:sz w:val="32"/>
          <w:szCs w:val="32"/>
          <w:highlight w:val="none"/>
          <w:u w:val="none"/>
          <w:lang w:val="en-US" w:eastAsia="zh-CN"/>
        </w:rPr>
        <w:t>0.00</w:t>
      </w:r>
      <w:r>
        <w:rPr>
          <w:rFonts w:eastAsia="仿宋_GB2312"/>
          <w:sz w:val="32"/>
          <w:szCs w:val="32"/>
          <w:highlight w:val="none"/>
        </w:rPr>
        <w:t>万元、拟采购工程支出</w:t>
      </w:r>
      <w:r>
        <w:rPr>
          <w:rFonts w:hint="eastAsia" w:eastAsia="仿宋_GB2312"/>
          <w:sz w:val="32"/>
          <w:szCs w:val="32"/>
          <w:highlight w:val="none"/>
          <w:lang w:val="en-US" w:eastAsia="zh-CN"/>
        </w:rPr>
        <w:t>0.00</w:t>
      </w:r>
      <w:r>
        <w:rPr>
          <w:rFonts w:eastAsia="仿宋_GB2312"/>
          <w:sz w:val="32"/>
          <w:szCs w:val="32"/>
          <w:highlight w:val="none"/>
        </w:rPr>
        <w:t>万元、拟购买服务支出</w:t>
      </w:r>
      <w:r>
        <w:rPr>
          <w:rFonts w:hint="eastAsia" w:eastAsia="仿宋_GB2312"/>
          <w:sz w:val="32"/>
          <w:szCs w:val="32"/>
          <w:highlight w:val="none"/>
          <w:lang w:val="en-US" w:eastAsia="zh-CN"/>
        </w:rPr>
        <w:t>0.00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w:t>
      </w:r>
      <w:r>
        <w:rPr>
          <w:rFonts w:eastAsia="仿宋_GB2312"/>
          <w:sz w:val="32"/>
          <w:szCs w:val="32"/>
          <w:highlight w:val="none"/>
        </w:rPr>
        <w:t>共有车辆</w:t>
      </w:r>
      <w:r>
        <w:rPr>
          <w:rFonts w:hint="eastAsia" w:eastAsia="仿宋_GB2312"/>
          <w:sz w:val="32"/>
          <w:szCs w:val="32"/>
          <w:highlight w:val="none"/>
          <w:lang w:val="en-US" w:eastAsia="zh-CN"/>
        </w:rPr>
        <w:t>0</w:t>
      </w:r>
      <w:r>
        <w:rPr>
          <w:rFonts w:eastAsia="仿宋_GB2312"/>
          <w:sz w:val="32"/>
          <w:szCs w:val="32"/>
          <w:highlight w:val="none"/>
        </w:rPr>
        <w:t>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0</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u w:val="single"/>
        </w:rPr>
        <w:t xml:space="preserve"> </w:t>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呼和浩特乌兰夫研究中心2024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lang w:val="en-US" w:eastAsia="zh-CN"/>
        </w:rPr>
        <w:t>1</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项目1</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lang w:val="en-US" w:eastAsia="zh-CN"/>
        </w:rPr>
        <w:t>0.8</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2" w:name="_Toc15573"/>
      <w:r>
        <w:rPr>
          <w:rFonts w:hint="eastAsia" w:ascii="Arial Unicode MS" w:hAnsi="Arial Unicode MS" w:eastAsia="Arial Unicode MS" w:cs="Arial Unicode MS"/>
          <w:b w:val="0"/>
          <w:bCs w:val="0"/>
          <w:sz w:val="36"/>
          <w:szCs w:val="36"/>
          <w:highlight w:val="none"/>
        </w:rPr>
        <w:t>第三部分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（各部门（单位）应根据公开预算表中对应的经费情况进行名词解释，对未涉及的名词可以删除</w:t>
      </w:r>
      <w:r>
        <w:rPr>
          <w:rFonts w:hint="eastAsia" w:eastAsia="仿宋_GB2312" w:cstheme="minorBidi"/>
          <w:sz w:val="32"/>
          <w:szCs w:val="32"/>
          <w:highlight w:val="none"/>
          <w:lang w:eastAsia="zh-CN"/>
        </w:rPr>
        <w:t>。</w:t>
      </w:r>
      <w:r>
        <w:rPr>
          <w:rFonts w:hint="eastAsia" w:eastAsia="仿宋_GB2312" w:cstheme="minorBidi"/>
          <w:sz w:val="32"/>
          <w:szCs w:val="32"/>
          <w:highlight w:val="none"/>
        </w:rPr>
        <w:t>）</w:t>
      </w:r>
    </w:p>
    <w:p>
      <w:pPr>
        <w:spacing w:line="600" w:lineRule="exact"/>
        <w:jc w:val="center"/>
        <w:rPr>
          <w:rFonts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3" w:name="_Toc21331"/>
      <w:r>
        <w:rPr>
          <w:rFonts w:hint="eastAsia" w:ascii="Arial Unicode MS" w:hAnsi="Arial Unicode MS" w:eastAsia="Arial Unicode MS" w:cs="Arial Unicode MS"/>
          <w:b w:val="0"/>
          <w:bCs w:val="0"/>
          <w:sz w:val="36"/>
          <w:szCs w:val="36"/>
          <w:highlight w:val="none"/>
        </w:rPr>
        <w:t>第四部分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预算公开联系方式及信息反馈渠道</w:t>
      </w:r>
      <w:bookmarkEnd w:id="3"/>
    </w:p>
    <w:p>
      <w:pPr>
        <w:snapToGrid w:val="0"/>
        <w:spacing w:line="600" w:lineRule="exact"/>
        <w:rPr>
          <w:rFonts w:ascii="Arial Unicode MS" w:hAnsi="Arial Unicode MS" w:eastAsia="Arial Unicode MS" w:cs="Arial Unicode MS"/>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刘婧</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399</w:t>
      </w:r>
      <w:bookmarkStart w:id="4" w:name="_GoBack"/>
      <w:bookmarkEnd w:id="4"/>
      <w:r>
        <w:rPr>
          <w:rFonts w:hint="eastAsia" w:ascii="仿宋_GB2312" w:hAnsi="仿宋_GB2312" w:eastAsia="仿宋_GB2312" w:cs="仿宋_GB2312"/>
          <w:sz w:val="32"/>
          <w:szCs w:val="32"/>
          <w:highlight w:val="none"/>
          <w:lang w:val="en-US" w:eastAsia="zh-CN"/>
        </w:rPr>
        <w:t>2340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59264;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57E3"/>
    <w:multiLevelType w:val="singleLevel"/>
    <w:tmpl w:val="826457E3"/>
    <w:lvl w:ilvl="0" w:tentative="0">
      <w:start w:val="4"/>
      <w:numFmt w:val="chineseCounting"/>
      <w:suff w:val="space"/>
      <w:lvlText w:val="(%1)"/>
      <w:lvlJc w:val="left"/>
      <w:rPr>
        <w:rFonts w:hint="eastAsia"/>
      </w:rPr>
    </w:lvl>
  </w:abstractNum>
  <w:abstractNum w:abstractNumId="1">
    <w:nsid w:val="E49F7070"/>
    <w:multiLevelType w:val="singleLevel"/>
    <w:tmpl w:val="E49F7070"/>
    <w:lvl w:ilvl="0" w:tentative="0">
      <w:start w:val="1"/>
      <w:numFmt w:val="decimal"/>
      <w:suff w:val="space"/>
      <w:lvlText w:val="%1."/>
      <w:lvlJc w:val="left"/>
    </w:lvl>
  </w:abstractNum>
  <w:abstractNum w:abstractNumId="2">
    <w:nsid w:val="E91A135B"/>
    <w:multiLevelType w:val="singleLevel"/>
    <w:tmpl w:val="E91A135B"/>
    <w:lvl w:ilvl="0" w:tentative="0">
      <w:start w:val="1"/>
      <w:numFmt w:val="decimal"/>
      <w:suff w:val="space"/>
      <w:lvlText w:val="%1."/>
      <w:lvlJc w:val="left"/>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WQ0MDVkOWEwNDBjYjQxOWQ5YTZjMGQ3NTViN2QifQ=="/>
  </w:docVars>
  <w:rsids>
    <w:rsidRoot w:val="65B601CC"/>
    <w:rsid w:val="23B46F76"/>
    <w:rsid w:val="3ECA43F6"/>
    <w:rsid w:val="48CD69A1"/>
    <w:rsid w:val="65B601CC"/>
    <w:rsid w:val="6EF9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unhideWhenUsed/>
    <w:qFormat/>
    <w:uiPriority w:val="1"/>
    <w:pPr>
      <w:spacing w:after="120"/>
    </w:pPr>
  </w:style>
  <w:style w:type="paragraph" w:styleId="7">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2024-01-31T01:27:00Z</dcterms:created>
  <dc:creator>微笑小丸子</dc:creator>
  <cp:lastModifiedBy>微笑小丸子</cp:lastModifiedBy>
  <dcterms:modified xsi:type="dcterms:W3CDTF">2024-02-01T03:10:46Z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56F0B6A008AD466DB57F71E9F564F61A_11</vt:lpwstr>
  </property>
</Properties>
</file>