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F9" w:rsidRDefault="00B67AF9">
      <w:pPr>
        <w:ind w:firstLine="601"/>
        <w:jc w:val="center"/>
        <w:rPr>
          <w:rFonts w:ascii="仿宋" w:eastAsia="仿宋" w:hAnsi="仿宋"/>
          <w:b/>
          <w:sz w:val="44"/>
          <w:szCs w:val="44"/>
        </w:rPr>
      </w:pPr>
    </w:p>
    <w:p w:rsidR="00B67AF9" w:rsidRDefault="00B67AF9">
      <w:pPr>
        <w:ind w:firstLine="601"/>
        <w:jc w:val="center"/>
        <w:rPr>
          <w:rFonts w:ascii="仿宋" w:eastAsia="仿宋" w:hAnsi="仿宋"/>
          <w:b/>
          <w:sz w:val="44"/>
          <w:szCs w:val="44"/>
        </w:rPr>
      </w:pPr>
    </w:p>
    <w:p w:rsidR="00B67AF9" w:rsidRDefault="00B67AF9">
      <w:pPr>
        <w:ind w:firstLine="601"/>
        <w:jc w:val="center"/>
        <w:rPr>
          <w:rFonts w:ascii="仿宋" w:eastAsia="仿宋" w:hAnsi="仿宋"/>
          <w:b/>
          <w:sz w:val="44"/>
          <w:szCs w:val="44"/>
        </w:rPr>
      </w:pPr>
    </w:p>
    <w:p w:rsidR="00B67AF9" w:rsidRDefault="00B829DB">
      <w:pPr>
        <w:ind w:firstLine="601"/>
        <w:jc w:val="center"/>
        <w:rPr>
          <w:rFonts w:ascii="仿宋" w:eastAsia="仿宋" w:hAnsi="仿宋"/>
          <w:b/>
          <w:sz w:val="44"/>
          <w:szCs w:val="44"/>
        </w:rPr>
      </w:pPr>
      <w:r>
        <w:rPr>
          <w:rFonts w:ascii="仿宋" w:eastAsia="仿宋" w:hAnsi="仿宋" w:hint="eastAsia"/>
          <w:b/>
          <w:sz w:val="44"/>
          <w:szCs w:val="44"/>
        </w:rPr>
        <w:t>乌兰夫纪念馆</w:t>
      </w:r>
      <w:r w:rsidR="008F18E2">
        <w:rPr>
          <w:rFonts w:ascii="仿宋" w:eastAsia="仿宋" w:hAnsi="仿宋" w:hint="eastAsia"/>
          <w:b/>
          <w:sz w:val="44"/>
          <w:szCs w:val="44"/>
        </w:rPr>
        <w:t>(本级)</w:t>
      </w:r>
    </w:p>
    <w:p w:rsidR="00B67AF9" w:rsidRDefault="00B829DB">
      <w:pPr>
        <w:ind w:firstLine="601"/>
        <w:jc w:val="center"/>
        <w:rPr>
          <w:rFonts w:ascii="仿宋" w:eastAsia="仿宋" w:hAnsi="仿宋"/>
          <w:b/>
          <w:sz w:val="44"/>
          <w:szCs w:val="44"/>
        </w:rPr>
      </w:pPr>
      <w:r>
        <w:rPr>
          <w:rFonts w:ascii="仿宋" w:eastAsia="仿宋" w:hAnsi="仿宋" w:hint="eastAsia"/>
          <w:b/>
          <w:sz w:val="44"/>
          <w:szCs w:val="44"/>
        </w:rPr>
        <w:t>2021年度预算公开报告</w:t>
      </w:r>
    </w:p>
    <w:p w:rsidR="00B67AF9" w:rsidRDefault="00B67AF9">
      <w:pPr>
        <w:spacing w:line="580" w:lineRule="exact"/>
        <w:ind w:firstLine="600"/>
        <w:jc w:val="center"/>
        <w:rPr>
          <w:rFonts w:ascii="仿宋" w:eastAsia="仿宋" w:hAnsi="仿宋"/>
          <w:b/>
          <w:sz w:val="32"/>
          <w:szCs w:val="32"/>
        </w:rPr>
      </w:pPr>
    </w:p>
    <w:p w:rsidR="00B67AF9" w:rsidRDefault="00B67AF9">
      <w:pPr>
        <w:spacing w:line="580" w:lineRule="exact"/>
        <w:ind w:firstLine="600"/>
        <w:jc w:val="center"/>
        <w:rPr>
          <w:rFonts w:ascii="仿宋" w:eastAsia="仿宋" w:hAnsi="仿宋"/>
          <w:b/>
          <w:sz w:val="32"/>
          <w:szCs w:val="32"/>
        </w:rPr>
      </w:pPr>
    </w:p>
    <w:p w:rsidR="00B67AF9" w:rsidRDefault="00B67AF9">
      <w:pPr>
        <w:spacing w:line="580" w:lineRule="exact"/>
        <w:ind w:firstLine="600"/>
        <w:jc w:val="center"/>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829DB">
      <w:pPr>
        <w:spacing w:line="580" w:lineRule="exact"/>
        <w:ind w:firstLineChars="945" w:firstLine="3036"/>
        <w:rPr>
          <w:rFonts w:ascii="仿宋" w:eastAsia="仿宋" w:hAnsi="仿宋"/>
          <w:b/>
          <w:sz w:val="32"/>
          <w:szCs w:val="32"/>
        </w:rPr>
      </w:pPr>
      <w:r>
        <w:rPr>
          <w:rFonts w:ascii="仿宋" w:eastAsia="仿宋" w:hAnsi="仿宋" w:hint="eastAsia"/>
          <w:b/>
          <w:sz w:val="32"/>
          <w:szCs w:val="32"/>
        </w:rPr>
        <w:t>2021年</w:t>
      </w:r>
      <w:r w:rsidR="008F18E2">
        <w:rPr>
          <w:rFonts w:ascii="仿宋" w:eastAsia="仿宋" w:hAnsi="仿宋" w:hint="eastAsia"/>
          <w:b/>
          <w:sz w:val="32"/>
          <w:szCs w:val="32"/>
        </w:rPr>
        <w:t>3</w:t>
      </w:r>
      <w:r>
        <w:rPr>
          <w:rFonts w:ascii="仿宋" w:eastAsia="仿宋" w:hAnsi="仿宋" w:hint="eastAsia"/>
          <w:b/>
          <w:sz w:val="32"/>
          <w:szCs w:val="32"/>
        </w:rPr>
        <w:t>月17日</w:t>
      </w: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rPr>
          <w:rFonts w:ascii="仿宋" w:eastAsia="仿宋" w:hAnsi="仿宋"/>
          <w:b/>
          <w:sz w:val="44"/>
          <w:szCs w:val="44"/>
        </w:rPr>
      </w:pPr>
    </w:p>
    <w:p w:rsidR="00B67AF9" w:rsidRDefault="00B829DB">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B67AF9" w:rsidRDefault="00B67AF9">
      <w:pPr>
        <w:adjustRightInd w:val="0"/>
        <w:snapToGrid w:val="0"/>
        <w:spacing w:line="560" w:lineRule="exact"/>
        <w:jc w:val="center"/>
        <w:rPr>
          <w:rFonts w:ascii="楷体_GB2312" w:eastAsia="楷体_GB2312" w:hAnsi="宋体"/>
          <w:b/>
          <w:color w:val="000000"/>
          <w:sz w:val="36"/>
          <w:szCs w:val="36"/>
        </w:rPr>
      </w:pPr>
    </w:p>
    <w:p w:rsidR="00B67AF9" w:rsidRDefault="00B829DB">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一、部门主要职能、职责</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B67AF9" w:rsidRDefault="00B829DB">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  2021年部门预算安排情况说明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B67AF9" w:rsidRDefault="00B829DB">
      <w:pPr>
        <w:ind w:firstLineChars="200" w:firstLine="640"/>
        <w:rPr>
          <w:rFonts w:ascii="楷体_GB2312" w:eastAsia="楷体_GB2312" w:hAnsi="黑体"/>
          <w:sz w:val="32"/>
          <w:szCs w:val="32"/>
        </w:rPr>
      </w:pPr>
      <w:r>
        <w:rPr>
          <w:rFonts w:ascii="楷体_GB2312" w:eastAsia="楷体_GB2312" w:hAnsi="黑体" w:hint="eastAsia"/>
          <w:color w:val="000000"/>
          <w:sz w:val="32"/>
          <w:szCs w:val="32"/>
        </w:rPr>
        <w:t>四、</w:t>
      </w:r>
      <w:r>
        <w:rPr>
          <w:rFonts w:ascii="楷体_GB2312" w:eastAsia="楷体_GB2312" w:hAnsi="黑体" w:hint="eastAsia"/>
          <w:sz w:val="32"/>
          <w:szCs w:val="32"/>
        </w:rPr>
        <w:t>项目支出绩效目标情况说明</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  预算公开联系方式及信息反馈渠道</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第六部分  2021年部门预算公开表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一、财政拨款收支预算总表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二、一般公共预算财政拨款支出预算表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三、一般公共预算财政拨款基本支出预算表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四、部门收支预算总表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五、部门收入预算总表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lastRenderedPageBreak/>
        <w:t>七、政府性基金预算财政拨款支出预算表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八、财政拨款“三公”经费支出预算表</w:t>
      </w:r>
    </w:p>
    <w:p w:rsidR="00B67AF9" w:rsidRDefault="00B829DB">
      <w:pPr>
        <w:ind w:firstLineChars="200" w:firstLine="640"/>
        <w:rPr>
          <w:rFonts w:ascii="楷体_GB2312" w:eastAsia="楷体_GB2312"/>
          <w:sz w:val="32"/>
          <w:szCs w:val="32"/>
        </w:rPr>
      </w:pPr>
      <w:r>
        <w:rPr>
          <w:rFonts w:ascii="楷体_GB2312" w:eastAsia="楷体_GB2312" w:hint="eastAsia"/>
          <w:sz w:val="32"/>
          <w:szCs w:val="32"/>
        </w:rPr>
        <w:t>九、</w:t>
      </w:r>
      <w:r>
        <w:rPr>
          <w:rFonts w:ascii="楷体_GB2312" w:eastAsia="楷体_GB2312" w:hAnsi="黑体" w:hint="eastAsia"/>
          <w:sz w:val="32"/>
          <w:szCs w:val="32"/>
        </w:rPr>
        <w:t>项目支出绩效目标申报表</w:t>
      </w:r>
    </w:p>
    <w:p w:rsidR="00B67AF9" w:rsidRDefault="00B67AF9"/>
    <w:p w:rsidR="00B67AF9" w:rsidRDefault="00B67AF9"/>
    <w:p w:rsidR="00B67AF9" w:rsidRDefault="00B67AF9"/>
    <w:p w:rsidR="00B67AF9" w:rsidRDefault="00B67AF9"/>
    <w:p w:rsidR="00B67AF9" w:rsidRDefault="00B67AF9"/>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829DB">
      <w:pPr>
        <w:spacing w:line="560" w:lineRule="exact"/>
        <w:jc w:val="center"/>
        <w:rPr>
          <w:rFonts w:ascii="楷体_GB2312" w:eastAsia="楷体_GB2312"/>
          <w:sz w:val="36"/>
          <w:szCs w:val="36"/>
        </w:rPr>
      </w:pPr>
      <w:r>
        <w:rPr>
          <w:rFonts w:ascii="楷体_GB2312" w:eastAsia="楷体_GB2312" w:hint="eastAsia"/>
          <w:sz w:val="36"/>
          <w:szCs w:val="36"/>
        </w:rPr>
        <w:lastRenderedPageBreak/>
        <w:t>第一部分  部门概况</w:t>
      </w:r>
    </w:p>
    <w:p w:rsidR="00B67AF9" w:rsidRDefault="00B67AF9">
      <w:pPr>
        <w:spacing w:line="560" w:lineRule="exact"/>
        <w:jc w:val="center"/>
        <w:rPr>
          <w:rFonts w:ascii="楷体_GB2312" w:eastAsia="楷体_GB2312"/>
          <w:sz w:val="36"/>
          <w:szCs w:val="36"/>
        </w:rPr>
      </w:pPr>
    </w:p>
    <w:p w:rsidR="00B67AF9" w:rsidRDefault="00B829DB">
      <w:pPr>
        <w:snapToGrid w:val="0"/>
        <w:spacing w:line="560" w:lineRule="exact"/>
        <w:ind w:firstLine="640"/>
        <w:rPr>
          <w:rFonts w:ascii="黑体" w:eastAsia="黑体" w:hAnsi="黑体"/>
          <w:sz w:val="32"/>
          <w:szCs w:val="32"/>
        </w:rPr>
      </w:pPr>
      <w:r>
        <w:rPr>
          <w:rFonts w:ascii="黑体" w:eastAsia="黑体" w:hAnsi="黑体" w:hint="eastAsia"/>
          <w:sz w:val="32"/>
          <w:szCs w:val="32"/>
        </w:rPr>
        <w:t>一、主要职能</w:t>
      </w:r>
    </w:p>
    <w:p w:rsidR="00B67AF9" w:rsidRDefault="00B829DB">
      <w:pPr>
        <w:snapToGrid w:val="0"/>
        <w:spacing w:line="560" w:lineRule="exact"/>
        <w:ind w:firstLine="640"/>
        <w:rPr>
          <w:rFonts w:ascii="仿宋" w:eastAsia="仿宋" w:hAnsi="仿宋"/>
          <w:sz w:val="28"/>
          <w:szCs w:val="28"/>
        </w:rPr>
      </w:pPr>
      <w:r>
        <w:rPr>
          <w:rFonts w:ascii="仿宋" w:eastAsia="仿宋" w:hAnsi="仿宋" w:hint="eastAsia"/>
          <w:sz w:val="28"/>
          <w:szCs w:val="28"/>
        </w:rPr>
        <w:t>（一）部门职能</w:t>
      </w:r>
    </w:p>
    <w:p w:rsidR="00B67AF9" w:rsidRDefault="00B829DB">
      <w:pPr>
        <w:snapToGrid w:val="0"/>
        <w:spacing w:line="560" w:lineRule="exact"/>
        <w:ind w:leftChars="152" w:left="319" w:firstLineChars="200" w:firstLine="560"/>
        <w:rPr>
          <w:rFonts w:ascii="仿宋" w:eastAsia="仿宋" w:hAnsi="仿宋"/>
          <w:color w:val="000000"/>
          <w:kern w:val="0"/>
          <w:sz w:val="28"/>
          <w:szCs w:val="28"/>
        </w:rPr>
      </w:pPr>
      <w:r>
        <w:rPr>
          <w:rFonts w:ascii="仿宋" w:eastAsia="仿宋" w:hAnsi="仿宋" w:hint="eastAsia"/>
          <w:color w:val="000000" w:themeColor="text1"/>
          <w:sz w:val="28"/>
          <w:szCs w:val="28"/>
        </w:rPr>
        <w:t>乌兰夫纪念馆</w:t>
      </w:r>
      <w:r w:rsidR="008F18E2">
        <w:rPr>
          <w:rFonts w:ascii="仿宋" w:eastAsia="仿宋" w:hAnsi="仿宋" w:hint="eastAsia"/>
          <w:color w:val="000000" w:themeColor="text1"/>
          <w:sz w:val="28"/>
          <w:szCs w:val="28"/>
        </w:rPr>
        <w:t>(本级)</w:t>
      </w:r>
      <w:r>
        <w:rPr>
          <w:rFonts w:ascii="仿宋" w:eastAsia="仿宋" w:hAnsi="仿宋" w:hint="eastAsia"/>
          <w:color w:val="000000" w:themeColor="text1"/>
          <w:sz w:val="28"/>
          <w:szCs w:val="28"/>
        </w:rPr>
        <w:t>是收藏展览文物，弘扬民族文化；文物，&lt;征集／修复／保管&gt;，文物展览，文物复制与修复，文物及相关研究，发挥爱国主义教育基地作用，宣传教育工作。</w:t>
      </w:r>
    </w:p>
    <w:p w:rsidR="00B67AF9" w:rsidRDefault="00B829DB">
      <w:pPr>
        <w:snapToGrid w:val="0"/>
        <w:spacing w:line="560" w:lineRule="exact"/>
        <w:ind w:leftChars="152" w:left="319" w:firstLineChars="100" w:firstLine="280"/>
        <w:rPr>
          <w:rFonts w:ascii="仿宋" w:eastAsia="仿宋" w:hAnsi="仿宋"/>
          <w:sz w:val="28"/>
          <w:szCs w:val="28"/>
        </w:rPr>
      </w:pPr>
      <w:r>
        <w:rPr>
          <w:rFonts w:ascii="仿宋" w:eastAsia="仿宋" w:hAnsi="仿宋" w:hint="eastAsia"/>
          <w:sz w:val="28"/>
          <w:szCs w:val="28"/>
        </w:rPr>
        <w:t>（二）部门主要职责</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（1）落实中央颁布的爱国主义教育实施纲要的宣传教育工作；</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（2）收集、整理、研究有关乌兰夫的文物、史料，充实展览内容及做好文物史料的保护工作；</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（3）做好乌兰夫故居的管理工作,负责上级交办的其他工作。</w:t>
      </w:r>
    </w:p>
    <w:p w:rsidR="00B67AF9" w:rsidRDefault="00B829DB">
      <w:pPr>
        <w:spacing w:line="580" w:lineRule="exact"/>
        <w:ind w:firstLineChars="200" w:firstLine="560"/>
        <w:rPr>
          <w:rFonts w:ascii="仿宋" w:eastAsia="仿宋" w:hAnsi="仿宋" w:cs="仿宋_GB2312"/>
          <w:sz w:val="28"/>
          <w:szCs w:val="28"/>
        </w:rPr>
      </w:pPr>
      <w:r>
        <w:rPr>
          <w:rFonts w:ascii="仿宋" w:eastAsia="仿宋" w:hAnsi="仿宋" w:hint="eastAsia"/>
          <w:sz w:val="28"/>
          <w:szCs w:val="28"/>
        </w:rPr>
        <w:t>（4）</w:t>
      </w:r>
      <w:r>
        <w:rPr>
          <w:rFonts w:ascii="仿宋" w:eastAsia="仿宋" w:hAnsi="仿宋" w:cs="仿宋_GB2312" w:hint="eastAsia"/>
          <w:sz w:val="28"/>
          <w:szCs w:val="28"/>
        </w:rPr>
        <w:t xml:space="preserve"> 发挥全国爱国主义教育示范基地的作用，宣传乌兰夫的革命思想和伟大史绩，积极开展社会教育工作。</w:t>
      </w:r>
    </w:p>
    <w:p w:rsidR="00B67AF9" w:rsidRDefault="00B829DB">
      <w:pPr>
        <w:spacing w:line="580" w:lineRule="exact"/>
        <w:ind w:firstLineChars="200" w:firstLine="560"/>
        <w:rPr>
          <w:rFonts w:ascii="仿宋" w:eastAsia="仿宋" w:hAnsi="仿宋"/>
          <w:sz w:val="28"/>
          <w:szCs w:val="28"/>
        </w:rPr>
      </w:pPr>
      <w:r>
        <w:rPr>
          <w:rFonts w:ascii="仿宋" w:eastAsia="仿宋" w:hAnsi="仿宋" w:cs="仿宋_GB2312" w:hint="eastAsia"/>
          <w:sz w:val="28"/>
          <w:szCs w:val="28"/>
        </w:rPr>
        <w:t>（5） 承接乌兰夫文化建设和历史文化保护的相关工作</w:t>
      </w:r>
    </w:p>
    <w:p w:rsidR="00B67AF9" w:rsidRDefault="00B829DB">
      <w:pPr>
        <w:snapToGrid w:val="0"/>
        <w:spacing w:line="560" w:lineRule="exact"/>
        <w:ind w:firstLine="640"/>
        <w:rPr>
          <w:rFonts w:ascii="黑体" w:eastAsia="黑体" w:hAnsi="黑体"/>
          <w:sz w:val="32"/>
          <w:szCs w:val="32"/>
        </w:rPr>
      </w:pPr>
      <w:r>
        <w:rPr>
          <w:rFonts w:ascii="黑体" w:eastAsia="黑体" w:hAnsi="黑体" w:hint="eastAsia"/>
          <w:color w:val="000000"/>
          <w:sz w:val="32"/>
          <w:szCs w:val="32"/>
        </w:rPr>
        <w:t>二、机构设置及预算单位构成情况</w:t>
      </w:r>
    </w:p>
    <w:p w:rsidR="00B67AF9" w:rsidRDefault="00B829DB">
      <w:pPr>
        <w:snapToGrid w:val="0"/>
        <w:spacing w:line="560" w:lineRule="exact"/>
        <w:ind w:firstLine="640"/>
        <w:rPr>
          <w:rFonts w:ascii="仿宋" w:eastAsia="仿宋" w:hAnsi="仿宋"/>
          <w:color w:val="000000" w:themeColor="text1"/>
          <w:sz w:val="28"/>
          <w:szCs w:val="28"/>
        </w:rPr>
      </w:pPr>
      <w:r>
        <w:rPr>
          <w:rFonts w:ascii="仿宋" w:eastAsia="仿宋" w:hAnsi="仿宋" w:hint="eastAsia"/>
          <w:color w:val="000000" w:themeColor="text1"/>
          <w:sz w:val="28"/>
          <w:szCs w:val="28"/>
        </w:rPr>
        <w:t>从预算单位构成看，乌兰夫纪念馆</w:t>
      </w:r>
      <w:r w:rsidR="008F18E2">
        <w:rPr>
          <w:rFonts w:ascii="仿宋" w:eastAsia="仿宋" w:hAnsi="仿宋" w:hint="eastAsia"/>
          <w:color w:val="000000" w:themeColor="text1"/>
          <w:sz w:val="28"/>
          <w:szCs w:val="28"/>
        </w:rPr>
        <w:t>（本级）</w:t>
      </w:r>
      <w:r>
        <w:rPr>
          <w:rFonts w:ascii="仿宋" w:eastAsia="仿宋" w:hAnsi="仿宋" w:hint="eastAsia"/>
          <w:color w:val="000000" w:themeColor="text1"/>
          <w:sz w:val="28"/>
          <w:szCs w:val="28"/>
        </w:rPr>
        <w:t>部门预算</w:t>
      </w:r>
      <w:r w:rsidR="008F18E2">
        <w:rPr>
          <w:rFonts w:ascii="仿宋" w:eastAsia="仿宋" w:hAnsi="仿宋" w:hint="eastAsia"/>
          <w:color w:val="000000" w:themeColor="text1"/>
          <w:sz w:val="28"/>
          <w:szCs w:val="28"/>
        </w:rPr>
        <w:t>属于</w:t>
      </w:r>
      <w:r>
        <w:rPr>
          <w:rFonts w:ascii="仿宋" w:eastAsia="仿宋" w:hAnsi="仿宋" w:hint="eastAsia"/>
          <w:color w:val="000000" w:themeColor="text1"/>
          <w:sz w:val="28"/>
          <w:szCs w:val="28"/>
        </w:rPr>
        <w:t>本级预算单位。</w:t>
      </w:r>
    </w:p>
    <w:p w:rsidR="00B67AF9" w:rsidRDefault="00B829DB">
      <w:pPr>
        <w:snapToGrid w:val="0"/>
        <w:spacing w:line="560" w:lineRule="exact"/>
        <w:ind w:firstLine="640"/>
        <w:rPr>
          <w:rFonts w:ascii="仿宋" w:eastAsia="仿宋" w:hAnsi="仿宋"/>
          <w:sz w:val="28"/>
          <w:szCs w:val="28"/>
        </w:rPr>
      </w:pPr>
      <w:r>
        <w:rPr>
          <w:rFonts w:ascii="仿宋" w:eastAsia="仿宋" w:hAnsi="仿宋" w:hint="eastAsia"/>
          <w:sz w:val="28"/>
          <w:szCs w:val="28"/>
        </w:rPr>
        <w:t>（一）乌兰夫纪念馆部门机构及人员基本情况</w:t>
      </w:r>
    </w:p>
    <w:p w:rsidR="00B67AF9" w:rsidRDefault="00B829DB">
      <w:pPr>
        <w:spacing w:line="580" w:lineRule="exact"/>
        <w:ind w:firstLine="600"/>
        <w:rPr>
          <w:rFonts w:ascii="仿宋" w:eastAsia="仿宋" w:hAnsi="仿宋"/>
          <w:sz w:val="28"/>
          <w:szCs w:val="28"/>
        </w:rPr>
      </w:pPr>
      <w:r>
        <w:rPr>
          <w:rFonts w:ascii="仿宋" w:eastAsia="仿宋" w:hAnsi="仿宋" w:hint="eastAsia"/>
          <w:sz w:val="28"/>
          <w:szCs w:val="28"/>
        </w:rPr>
        <w:t>乌兰夫纪念馆</w:t>
      </w:r>
      <w:r w:rsidR="008F18E2">
        <w:rPr>
          <w:rFonts w:ascii="仿宋" w:eastAsia="仿宋" w:hAnsi="仿宋" w:hint="eastAsia"/>
          <w:sz w:val="28"/>
          <w:szCs w:val="28"/>
        </w:rPr>
        <w:t>是</w:t>
      </w:r>
      <w:r>
        <w:rPr>
          <w:rFonts w:ascii="仿宋" w:eastAsia="仿宋" w:hAnsi="仿宋" w:hint="eastAsia"/>
          <w:sz w:val="28"/>
          <w:szCs w:val="28"/>
        </w:rPr>
        <w:t>系呼和浩特市委直属事业单位（参公），呼和浩特市市委宣传部代管。根据工作职责，全馆设9</w:t>
      </w:r>
      <w:r w:rsidR="008F18E2">
        <w:rPr>
          <w:rFonts w:ascii="仿宋" w:eastAsia="仿宋" w:hAnsi="仿宋" w:hint="eastAsia"/>
          <w:sz w:val="28"/>
          <w:szCs w:val="28"/>
        </w:rPr>
        <w:t>个职能科（室）。</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乌兰夫纪念馆核定编制数</w:t>
      </w:r>
      <w:r w:rsidR="0023520E">
        <w:rPr>
          <w:rFonts w:ascii="仿宋" w:eastAsia="仿宋" w:hAnsi="仿宋" w:hint="eastAsia"/>
          <w:sz w:val="28"/>
          <w:szCs w:val="28"/>
        </w:rPr>
        <w:t>36</w:t>
      </w:r>
      <w:r>
        <w:rPr>
          <w:rFonts w:ascii="仿宋" w:eastAsia="仿宋" w:hAnsi="仿宋" w:hint="eastAsia"/>
          <w:sz w:val="28"/>
          <w:szCs w:val="28"/>
        </w:rPr>
        <w:t>人，其中参照公务员法管理事业单位编制36人，现有干部职工</w:t>
      </w:r>
      <w:r w:rsidR="0023520E">
        <w:rPr>
          <w:rFonts w:ascii="仿宋" w:eastAsia="仿宋" w:hAnsi="仿宋" w:hint="eastAsia"/>
          <w:sz w:val="28"/>
          <w:szCs w:val="28"/>
        </w:rPr>
        <w:t>36</w:t>
      </w:r>
      <w:r>
        <w:rPr>
          <w:rFonts w:ascii="仿宋" w:eastAsia="仿宋" w:hAnsi="仿宋" w:hint="eastAsia"/>
          <w:sz w:val="28"/>
          <w:szCs w:val="28"/>
        </w:rPr>
        <w:t>人，退休人员16人。</w:t>
      </w:r>
    </w:p>
    <w:p w:rsidR="00B67AF9" w:rsidRDefault="00903B18">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（二）乌兰夫纪念馆（本级）</w:t>
      </w:r>
      <w:r w:rsidR="00B829DB">
        <w:rPr>
          <w:rFonts w:ascii="仿宋" w:eastAsia="仿宋" w:hAnsi="仿宋" w:hint="eastAsia"/>
          <w:sz w:val="28"/>
          <w:szCs w:val="28"/>
        </w:rPr>
        <w:t>单位设置及人员情况</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lastRenderedPageBreak/>
        <w:t>纳入2021</w:t>
      </w:r>
      <w:r w:rsidR="00781F36">
        <w:rPr>
          <w:rFonts w:ascii="仿宋" w:eastAsia="仿宋" w:hAnsi="仿宋" w:hint="eastAsia"/>
          <w:sz w:val="28"/>
          <w:szCs w:val="28"/>
        </w:rPr>
        <w:t>年部门预算编制范围的本</w:t>
      </w:r>
      <w:r>
        <w:rPr>
          <w:rFonts w:ascii="仿宋" w:eastAsia="仿宋" w:hAnsi="仿宋" w:hint="eastAsia"/>
          <w:sz w:val="28"/>
          <w:szCs w:val="28"/>
        </w:rPr>
        <w:t>级预算单位情况：</w:t>
      </w:r>
    </w:p>
    <w:p w:rsidR="00B67AF9" w:rsidRDefault="00B829DB">
      <w:pPr>
        <w:snapToGrid w:val="0"/>
        <w:spacing w:line="560" w:lineRule="exact"/>
        <w:ind w:firstLineChars="200" w:firstLine="643"/>
        <w:jc w:val="center"/>
        <w:rPr>
          <w:rFonts w:eastAsia="仿宋_GB2312"/>
          <w:b/>
          <w:sz w:val="32"/>
          <w:szCs w:val="32"/>
        </w:rPr>
      </w:pPr>
      <w:r>
        <w:rPr>
          <w:rFonts w:eastAsia="仿宋_GB2312" w:hint="eastAsia"/>
          <w:b/>
          <w:sz w:val="32"/>
          <w:szCs w:val="32"/>
        </w:rPr>
        <w:t>单位情况表</w:t>
      </w:r>
    </w:p>
    <w:p w:rsidR="00B67AF9" w:rsidRDefault="00B67AF9">
      <w:pPr>
        <w:adjustRightInd w:val="0"/>
        <w:snapToGrid w:val="0"/>
        <w:spacing w:line="560" w:lineRule="exact"/>
        <w:ind w:firstLineChars="200" w:firstLine="640"/>
        <w:rPr>
          <w:rFonts w:ascii="仿宋_GB2312" w:eastAsia="仿宋_GB2312" w:hAnsi="黑体"/>
          <w:color w:val="000000"/>
          <w:sz w:val="32"/>
          <w:szCs w:val="32"/>
        </w:rPr>
      </w:pPr>
    </w:p>
    <w:tbl>
      <w:tblPr>
        <w:tblW w:w="8309" w:type="dxa"/>
        <w:jc w:val="center"/>
        <w:tblLook w:val="04A0"/>
      </w:tblPr>
      <w:tblGrid>
        <w:gridCol w:w="1203"/>
        <w:gridCol w:w="3780"/>
        <w:gridCol w:w="3326"/>
      </w:tblGrid>
      <w:tr w:rsidR="00B67AF9">
        <w:trPr>
          <w:trHeight w:val="397"/>
          <w:jc w:val="center"/>
        </w:trPr>
        <w:tc>
          <w:tcPr>
            <w:tcW w:w="1203" w:type="dxa"/>
            <w:tcBorders>
              <w:top w:val="single" w:sz="4" w:space="0" w:color="auto"/>
              <w:left w:val="single" w:sz="4" w:space="0" w:color="auto"/>
              <w:bottom w:val="single" w:sz="4" w:space="0" w:color="auto"/>
              <w:right w:val="single" w:sz="4" w:space="0" w:color="auto"/>
            </w:tcBorders>
            <w:vAlign w:val="center"/>
          </w:tcPr>
          <w:p w:rsidR="00B67AF9" w:rsidRDefault="00B829DB">
            <w:pPr>
              <w:widowControl/>
              <w:jc w:val="center"/>
              <w:rPr>
                <w:rFonts w:ascii="仿宋" w:eastAsia="仿宋" w:hAnsi="仿宋"/>
                <w:color w:val="000000"/>
                <w:kern w:val="0"/>
                <w:sz w:val="28"/>
                <w:szCs w:val="28"/>
              </w:rPr>
            </w:pPr>
            <w:r>
              <w:rPr>
                <w:rFonts w:ascii="仿宋" w:eastAsia="仿宋" w:hAnsi="仿宋" w:cs="宋体" w:hint="eastAsia"/>
                <w:bCs/>
                <w:color w:val="000000"/>
                <w:kern w:val="0"/>
                <w:sz w:val="28"/>
                <w:szCs w:val="28"/>
              </w:rPr>
              <w:t>序号</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67AF9" w:rsidRDefault="00B829DB">
            <w:pPr>
              <w:widowControl/>
              <w:jc w:val="center"/>
              <w:rPr>
                <w:rFonts w:ascii="仿宋" w:eastAsia="仿宋" w:hAnsi="仿宋"/>
                <w:bCs/>
                <w:color w:val="000000"/>
                <w:kern w:val="0"/>
                <w:sz w:val="28"/>
                <w:szCs w:val="28"/>
              </w:rPr>
            </w:pPr>
            <w:r>
              <w:rPr>
                <w:rFonts w:ascii="仿宋" w:eastAsia="仿宋" w:hAnsi="仿宋" w:cs="宋体" w:hint="eastAsia"/>
                <w:bCs/>
                <w:color w:val="000000"/>
                <w:kern w:val="0"/>
                <w:sz w:val="28"/>
                <w:szCs w:val="28"/>
              </w:rPr>
              <w:t>单位名称</w:t>
            </w:r>
          </w:p>
        </w:tc>
        <w:tc>
          <w:tcPr>
            <w:tcW w:w="3326" w:type="dxa"/>
            <w:tcBorders>
              <w:top w:val="single" w:sz="4" w:space="0" w:color="auto"/>
              <w:left w:val="nil"/>
              <w:bottom w:val="single" w:sz="4" w:space="0" w:color="auto"/>
              <w:right w:val="single" w:sz="4" w:space="0" w:color="auto"/>
            </w:tcBorders>
            <w:shd w:val="clear" w:color="auto" w:fill="auto"/>
            <w:noWrap/>
            <w:vAlign w:val="center"/>
          </w:tcPr>
          <w:p w:rsidR="00B67AF9" w:rsidRDefault="00B829DB">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单位性质</w:t>
            </w: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1</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903B18" w:rsidP="00903B18">
            <w:pPr>
              <w:widowControl/>
              <w:jc w:val="left"/>
              <w:rPr>
                <w:rFonts w:ascii="仿宋" w:eastAsia="仿宋" w:hAnsi="仿宋"/>
                <w:b/>
                <w:bCs/>
                <w:color w:val="000000"/>
                <w:kern w:val="0"/>
                <w:sz w:val="28"/>
                <w:szCs w:val="28"/>
              </w:rPr>
            </w:pPr>
            <w:r>
              <w:rPr>
                <w:rFonts w:ascii="仿宋" w:eastAsia="仿宋" w:hAnsi="仿宋" w:hint="eastAsia"/>
                <w:sz w:val="28"/>
                <w:szCs w:val="28"/>
              </w:rPr>
              <w:t>乌兰夫纪念馆（本级）</w:t>
            </w:r>
          </w:p>
        </w:tc>
        <w:tc>
          <w:tcPr>
            <w:tcW w:w="3326" w:type="dxa"/>
            <w:tcBorders>
              <w:top w:val="nil"/>
              <w:left w:val="nil"/>
              <w:bottom w:val="single" w:sz="4" w:space="0" w:color="auto"/>
              <w:right w:val="single" w:sz="4" w:space="0" w:color="auto"/>
            </w:tcBorders>
            <w:shd w:val="clear" w:color="auto" w:fill="auto"/>
            <w:noWrap/>
            <w:vAlign w:val="center"/>
          </w:tcPr>
          <w:p w:rsidR="00B67AF9" w:rsidRDefault="00B829DB">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参照公务员法管理的事业单位</w:t>
            </w: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2</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 w:eastAsia="仿宋" w:hAnsi="仿宋"/>
                <w:color w:val="000000"/>
                <w:kern w:val="0"/>
                <w:sz w:val="28"/>
                <w:szCs w:val="28"/>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 w:eastAsia="仿宋" w:hAnsi="仿宋"/>
                <w:color w:val="000000"/>
                <w:kern w:val="0"/>
                <w:sz w:val="28"/>
                <w:szCs w:val="28"/>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3</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 w:eastAsia="仿宋" w:hAnsi="仿宋"/>
                <w:color w:val="000000"/>
                <w:kern w:val="0"/>
                <w:sz w:val="28"/>
                <w:szCs w:val="28"/>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 w:eastAsia="仿宋" w:hAnsi="仿宋"/>
                <w:color w:val="000000"/>
                <w:kern w:val="0"/>
                <w:sz w:val="28"/>
                <w:szCs w:val="28"/>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4</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_GB2312" w:eastAsia="仿宋_GB2312"/>
                <w:color w:val="000000"/>
                <w:kern w:val="0"/>
                <w:sz w:val="32"/>
                <w:szCs w:val="32"/>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B829DB">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4</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_GB2312" w:eastAsia="仿宋_GB2312"/>
                <w:color w:val="000000"/>
                <w:kern w:val="0"/>
                <w:sz w:val="32"/>
                <w:szCs w:val="32"/>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B829DB">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5</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_GB2312" w:eastAsia="仿宋_GB2312"/>
                <w:color w:val="000000"/>
                <w:kern w:val="0"/>
                <w:sz w:val="32"/>
                <w:szCs w:val="32"/>
              </w:rPr>
            </w:pPr>
          </w:p>
        </w:tc>
      </w:tr>
    </w:tbl>
    <w:p w:rsidR="00B67AF9" w:rsidRDefault="00B67AF9">
      <w:pPr>
        <w:spacing w:line="580" w:lineRule="exact"/>
        <w:rPr>
          <w:rFonts w:ascii="仿宋" w:eastAsia="仿宋" w:hAnsi="仿宋"/>
          <w:sz w:val="32"/>
          <w:szCs w:val="32"/>
        </w:rPr>
      </w:pPr>
    </w:p>
    <w:p w:rsidR="00B67AF9" w:rsidRDefault="00B829DB">
      <w:pPr>
        <w:spacing w:line="560" w:lineRule="exact"/>
        <w:jc w:val="center"/>
        <w:rPr>
          <w:rFonts w:ascii="楷体_GB2312" w:eastAsia="楷体_GB2312"/>
          <w:sz w:val="36"/>
          <w:szCs w:val="36"/>
        </w:rPr>
      </w:pPr>
      <w:r>
        <w:rPr>
          <w:rFonts w:ascii="楷体_GB2312" w:eastAsia="楷体_GB2312" w:hint="eastAsia"/>
          <w:sz w:val="36"/>
          <w:szCs w:val="36"/>
        </w:rPr>
        <w:t>第二部分   2021年部门预算安排情况说明</w:t>
      </w:r>
    </w:p>
    <w:p w:rsidR="00B67AF9" w:rsidRDefault="00B67AF9">
      <w:pPr>
        <w:spacing w:line="560" w:lineRule="exact"/>
        <w:jc w:val="center"/>
        <w:rPr>
          <w:rFonts w:ascii="楷体_GB2312" w:eastAsia="楷体_GB2312"/>
          <w:sz w:val="36"/>
          <w:szCs w:val="36"/>
        </w:rPr>
      </w:pPr>
    </w:p>
    <w:p w:rsidR="00B67AF9" w:rsidRDefault="00B829DB">
      <w:pPr>
        <w:spacing w:line="560" w:lineRule="exact"/>
        <w:ind w:firstLineChars="200" w:firstLine="640"/>
        <w:rPr>
          <w:rFonts w:ascii="黑体" w:eastAsia="黑体"/>
          <w:sz w:val="32"/>
          <w:szCs w:val="32"/>
        </w:rPr>
      </w:pPr>
      <w:r>
        <w:rPr>
          <w:rFonts w:ascii="黑体" w:eastAsia="黑体" w:hAnsi="黑体" w:hint="eastAsia"/>
          <w:color w:val="000000"/>
          <w:sz w:val="32"/>
          <w:szCs w:val="32"/>
        </w:rPr>
        <w:t>一、部门预算收支总体情况说明</w:t>
      </w:r>
    </w:p>
    <w:p w:rsidR="00B67AF9" w:rsidRDefault="00B829DB">
      <w:pPr>
        <w:adjustRightInd w:val="0"/>
        <w:snapToGrid w:val="0"/>
        <w:spacing w:line="560" w:lineRule="exact"/>
        <w:ind w:firstLine="640"/>
        <w:rPr>
          <w:rFonts w:ascii="仿宋" w:eastAsia="仿宋" w:hAnsi="仿宋"/>
          <w:sz w:val="28"/>
          <w:szCs w:val="28"/>
        </w:rPr>
      </w:pPr>
      <w:r>
        <w:rPr>
          <w:rFonts w:ascii="仿宋" w:eastAsia="仿宋" w:hAnsi="仿宋" w:hint="eastAsia"/>
          <w:sz w:val="28"/>
          <w:szCs w:val="28"/>
        </w:rPr>
        <w:t>2021年收入预算</w:t>
      </w:r>
      <w:r w:rsidR="008E20EC">
        <w:rPr>
          <w:rFonts w:ascii="仿宋" w:eastAsia="仿宋" w:hAnsi="仿宋" w:hint="eastAsia"/>
          <w:sz w:val="28"/>
          <w:szCs w:val="28"/>
        </w:rPr>
        <w:t>3689.</w:t>
      </w:r>
      <w:r w:rsidR="000911D2">
        <w:rPr>
          <w:rFonts w:ascii="仿宋" w:eastAsia="仿宋" w:hAnsi="仿宋" w:hint="eastAsia"/>
          <w:sz w:val="28"/>
          <w:szCs w:val="28"/>
        </w:rPr>
        <w:t>27</w:t>
      </w:r>
      <w:r>
        <w:rPr>
          <w:rFonts w:ascii="仿宋" w:eastAsia="仿宋" w:hAnsi="仿宋" w:hint="eastAsia"/>
          <w:sz w:val="28"/>
          <w:szCs w:val="28"/>
        </w:rPr>
        <w:t>万元，比2020年预算增加</w:t>
      </w:r>
      <w:r w:rsidR="008E20EC">
        <w:rPr>
          <w:rFonts w:ascii="仿宋" w:eastAsia="仿宋" w:hAnsi="仿宋" w:hint="eastAsia"/>
          <w:sz w:val="28"/>
          <w:szCs w:val="28"/>
        </w:rPr>
        <w:t>2181.26</w:t>
      </w:r>
      <w:r>
        <w:rPr>
          <w:rFonts w:ascii="仿宋" w:eastAsia="仿宋" w:hAnsi="仿宋" w:hint="eastAsia"/>
          <w:sz w:val="28"/>
          <w:szCs w:val="28"/>
        </w:rPr>
        <w:t>万元，增长</w:t>
      </w:r>
      <w:r w:rsidR="008E20EC">
        <w:rPr>
          <w:rFonts w:ascii="仿宋" w:eastAsia="仿宋" w:hAnsi="仿宋" w:hint="eastAsia"/>
          <w:sz w:val="28"/>
          <w:szCs w:val="28"/>
        </w:rPr>
        <w:t>144.61</w:t>
      </w:r>
      <w:r>
        <w:rPr>
          <w:rFonts w:ascii="仿宋" w:eastAsia="仿宋" w:hAnsi="仿宋" w:hint="eastAsia"/>
          <w:sz w:val="28"/>
          <w:szCs w:val="28"/>
        </w:rPr>
        <w:t>%，增加主要是由于政府性基金预算拨款收入增加、乌兰夫公园南门、南门外、北门消防通道等维修经费增加、乌兰夫故居陈列布展经费增加。</w:t>
      </w:r>
    </w:p>
    <w:p w:rsidR="00B67AF9" w:rsidRDefault="00B829DB">
      <w:pPr>
        <w:adjustRightInd w:val="0"/>
        <w:snapToGrid w:val="0"/>
        <w:spacing w:line="560" w:lineRule="exact"/>
        <w:ind w:firstLine="640"/>
        <w:rPr>
          <w:rFonts w:ascii="仿宋_GB2312" w:eastAsia="仿宋_GB2312"/>
          <w:sz w:val="32"/>
          <w:szCs w:val="32"/>
        </w:rPr>
      </w:pPr>
      <w:r>
        <w:rPr>
          <w:rFonts w:ascii="仿宋" w:eastAsia="仿宋" w:hAnsi="仿宋" w:hint="eastAsia"/>
          <w:sz w:val="28"/>
          <w:szCs w:val="28"/>
        </w:rPr>
        <w:t>2021年支出预算</w:t>
      </w:r>
      <w:r w:rsidR="008E20EC">
        <w:rPr>
          <w:rFonts w:ascii="仿宋" w:eastAsia="仿宋" w:hAnsi="仿宋" w:hint="eastAsia"/>
          <w:sz w:val="28"/>
          <w:szCs w:val="28"/>
        </w:rPr>
        <w:t>3689.</w:t>
      </w:r>
      <w:r w:rsidR="000911D2">
        <w:rPr>
          <w:rFonts w:ascii="仿宋" w:eastAsia="仿宋" w:hAnsi="仿宋" w:hint="eastAsia"/>
          <w:sz w:val="28"/>
          <w:szCs w:val="28"/>
        </w:rPr>
        <w:t>2</w:t>
      </w:r>
      <w:r w:rsidR="008E20EC">
        <w:rPr>
          <w:rFonts w:ascii="仿宋" w:eastAsia="仿宋" w:hAnsi="仿宋" w:hint="eastAsia"/>
          <w:sz w:val="28"/>
          <w:szCs w:val="28"/>
        </w:rPr>
        <w:t>7</w:t>
      </w:r>
      <w:r>
        <w:rPr>
          <w:rFonts w:ascii="仿宋" w:eastAsia="仿宋" w:hAnsi="仿宋" w:hint="eastAsia"/>
          <w:sz w:val="28"/>
          <w:szCs w:val="28"/>
        </w:rPr>
        <w:t>万元，比2020年预算增加</w:t>
      </w:r>
      <w:r w:rsidR="008E20EC">
        <w:rPr>
          <w:rFonts w:ascii="仿宋" w:eastAsia="仿宋" w:hAnsi="仿宋" w:hint="eastAsia"/>
          <w:sz w:val="28"/>
          <w:szCs w:val="28"/>
        </w:rPr>
        <w:t>2181.26</w:t>
      </w:r>
      <w:r>
        <w:rPr>
          <w:rFonts w:ascii="仿宋" w:eastAsia="仿宋" w:hAnsi="仿宋" w:hint="eastAsia"/>
          <w:sz w:val="28"/>
          <w:szCs w:val="28"/>
        </w:rPr>
        <w:t>万元，增长</w:t>
      </w:r>
      <w:r w:rsidR="008E20EC">
        <w:rPr>
          <w:rFonts w:ascii="仿宋" w:eastAsia="仿宋" w:hAnsi="仿宋" w:hint="eastAsia"/>
          <w:sz w:val="28"/>
          <w:szCs w:val="28"/>
        </w:rPr>
        <w:t>144.61</w:t>
      </w:r>
      <w:r>
        <w:rPr>
          <w:rFonts w:ascii="仿宋" w:eastAsia="仿宋" w:hAnsi="仿宋" w:hint="eastAsia"/>
          <w:sz w:val="28"/>
          <w:szCs w:val="28"/>
        </w:rPr>
        <w:t>%，增加主要是由于政府性基金预算拨款收入增加、乌兰夫公园南门、南门外、北门消防通道等维修经费增加、乌兰夫故居陈列布展经费增加。</w:t>
      </w:r>
    </w:p>
    <w:p w:rsidR="00B67AF9" w:rsidRDefault="00B829DB">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lastRenderedPageBreak/>
        <w:t>（一）部门预算收入情况说明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部门预算收入</w:t>
      </w:r>
      <w:r w:rsidR="008374B0">
        <w:rPr>
          <w:rFonts w:ascii="仿宋" w:eastAsia="仿宋" w:hAnsi="仿宋" w:hint="eastAsia"/>
          <w:sz w:val="28"/>
          <w:szCs w:val="28"/>
        </w:rPr>
        <w:t>4323.15</w:t>
      </w:r>
      <w:r>
        <w:rPr>
          <w:rFonts w:ascii="仿宋" w:eastAsia="仿宋" w:hAnsi="仿宋" w:hint="eastAsia"/>
          <w:sz w:val="28"/>
          <w:szCs w:val="28"/>
        </w:rPr>
        <w:t>万元，其中：一般公共预算拨款收入</w:t>
      </w:r>
      <w:r w:rsidR="008374B0">
        <w:rPr>
          <w:rFonts w:ascii="仿宋" w:eastAsia="仿宋" w:hAnsi="仿宋" w:hint="eastAsia"/>
          <w:sz w:val="28"/>
          <w:szCs w:val="28"/>
        </w:rPr>
        <w:t>1689.27</w:t>
      </w:r>
      <w:r>
        <w:rPr>
          <w:rFonts w:ascii="仿宋" w:eastAsia="仿宋" w:hAnsi="仿宋" w:hint="eastAsia"/>
          <w:sz w:val="28"/>
          <w:szCs w:val="28"/>
        </w:rPr>
        <w:t>万元，占比</w:t>
      </w:r>
      <w:r w:rsidR="008374B0">
        <w:rPr>
          <w:rFonts w:ascii="仿宋" w:eastAsia="仿宋" w:hAnsi="仿宋" w:hint="eastAsia"/>
          <w:sz w:val="28"/>
          <w:szCs w:val="28"/>
        </w:rPr>
        <w:t>39.07</w:t>
      </w:r>
      <w:r>
        <w:rPr>
          <w:rFonts w:ascii="仿宋" w:eastAsia="仿宋" w:hAnsi="仿宋" w:hint="eastAsia"/>
          <w:sz w:val="28"/>
          <w:szCs w:val="28"/>
        </w:rPr>
        <w:t>%；政府性基金预算拨款收入2000万元，占比</w:t>
      </w:r>
      <w:r w:rsidR="008374B0">
        <w:rPr>
          <w:rFonts w:ascii="仿宋" w:eastAsia="仿宋" w:hAnsi="仿宋" w:hint="eastAsia"/>
          <w:sz w:val="28"/>
          <w:szCs w:val="28"/>
        </w:rPr>
        <w:t>46.26</w:t>
      </w:r>
      <w:r>
        <w:rPr>
          <w:rFonts w:ascii="仿宋" w:eastAsia="仿宋" w:hAnsi="仿宋" w:hint="eastAsia"/>
          <w:sz w:val="28"/>
          <w:szCs w:val="28"/>
        </w:rPr>
        <w:t xml:space="preserve"> %；事业收入0万元，占比0%；事业单位经营收0万元，占比0%；，其他收0万元，占0%；上年结转 633.88 万元，占比14.</w:t>
      </w:r>
      <w:r w:rsidR="008374B0">
        <w:rPr>
          <w:rFonts w:ascii="仿宋" w:eastAsia="仿宋" w:hAnsi="仿宋" w:hint="eastAsia"/>
          <w:sz w:val="28"/>
          <w:szCs w:val="28"/>
        </w:rPr>
        <w:t>66</w:t>
      </w:r>
      <w:r>
        <w:rPr>
          <w:rFonts w:ascii="仿宋" w:eastAsia="仿宋" w:hAnsi="仿宋" w:hint="eastAsia"/>
          <w:sz w:val="28"/>
          <w:szCs w:val="28"/>
        </w:rPr>
        <w:t xml:space="preserve"> %，用事业基金弥补的收支差额0万元，占比0 %。</w:t>
      </w:r>
    </w:p>
    <w:p w:rsidR="00B67AF9" w:rsidRDefault="00B829DB">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（二）部门预算支出情况说明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部门预算支出</w:t>
      </w:r>
      <w:r w:rsidR="002E0BF6">
        <w:rPr>
          <w:rFonts w:ascii="仿宋" w:eastAsia="仿宋" w:hAnsi="仿宋" w:hint="eastAsia"/>
          <w:sz w:val="28"/>
          <w:szCs w:val="28"/>
        </w:rPr>
        <w:t>3689.27</w:t>
      </w:r>
      <w:r>
        <w:rPr>
          <w:rFonts w:ascii="仿宋" w:eastAsia="仿宋" w:hAnsi="仿宋" w:hint="eastAsia"/>
          <w:sz w:val="28"/>
          <w:szCs w:val="28"/>
        </w:rPr>
        <w:t>万元，其中：基本支出</w:t>
      </w:r>
      <w:r w:rsidR="002E0BF6">
        <w:rPr>
          <w:rFonts w:ascii="仿宋" w:eastAsia="仿宋" w:hAnsi="仿宋" w:hint="eastAsia"/>
          <w:sz w:val="28"/>
          <w:szCs w:val="28"/>
        </w:rPr>
        <w:t>530.85</w:t>
      </w:r>
      <w:r>
        <w:rPr>
          <w:rFonts w:ascii="仿宋" w:eastAsia="仿宋" w:hAnsi="仿宋" w:hint="eastAsia"/>
          <w:sz w:val="28"/>
          <w:szCs w:val="28"/>
        </w:rPr>
        <w:t>万元，占比</w:t>
      </w:r>
      <w:r w:rsidR="002E0BF6">
        <w:rPr>
          <w:rFonts w:ascii="仿宋" w:eastAsia="仿宋" w:hAnsi="仿宋" w:hint="eastAsia"/>
          <w:sz w:val="28"/>
          <w:szCs w:val="28"/>
        </w:rPr>
        <w:t>14.39</w:t>
      </w:r>
      <w:r>
        <w:rPr>
          <w:rFonts w:ascii="仿宋" w:eastAsia="仿宋" w:hAnsi="仿宋" w:hint="eastAsia"/>
          <w:sz w:val="28"/>
          <w:szCs w:val="28"/>
        </w:rPr>
        <w:t xml:space="preserve"> %；项目支出</w:t>
      </w:r>
      <w:r w:rsidR="002E0BF6">
        <w:rPr>
          <w:rFonts w:ascii="仿宋" w:eastAsia="仿宋" w:hAnsi="仿宋" w:hint="eastAsia"/>
          <w:sz w:val="28"/>
          <w:szCs w:val="28"/>
        </w:rPr>
        <w:t>3158.42</w:t>
      </w:r>
      <w:r>
        <w:rPr>
          <w:rFonts w:ascii="仿宋" w:eastAsia="仿宋" w:hAnsi="仿宋" w:hint="eastAsia"/>
          <w:sz w:val="28"/>
          <w:szCs w:val="28"/>
        </w:rPr>
        <w:t>万元，占比</w:t>
      </w:r>
      <w:r w:rsidR="002E0BF6">
        <w:rPr>
          <w:rFonts w:ascii="仿宋" w:eastAsia="仿宋" w:hAnsi="仿宋" w:hint="eastAsia"/>
          <w:sz w:val="28"/>
          <w:szCs w:val="28"/>
        </w:rPr>
        <w:t>85.61</w:t>
      </w:r>
      <w:r>
        <w:rPr>
          <w:rFonts w:ascii="仿宋" w:eastAsia="仿宋" w:hAnsi="仿宋" w:hint="eastAsia"/>
          <w:sz w:val="28"/>
          <w:szCs w:val="28"/>
        </w:rPr>
        <w:t xml:space="preserve"> %；事业单位经营支出 0万元，占比 0 %。</w:t>
      </w:r>
    </w:p>
    <w:p w:rsidR="00B67AF9" w:rsidRDefault="00B829DB">
      <w:pPr>
        <w:adjustRightInd w:val="0"/>
        <w:snapToGrid w:val="0"/>
        <w:spacing w:line="560" w:lineRule="exact"/>
        <w:ind w:firstLine="640"/>
        <w:rPr>
          <w:rFonts w:ascii="仿宋" w:eastAsia="仿宋" w:hAnsi="仿宋"/>
          <w:sz w:val="28"/>
          <w:szCs w:val="28"/>
        </w:rPr>
      </w:pPr>
      <w:r>
        <w:rPr>
          <w:rFonts w:ascii="仿宋" w:eastAsia="仿宋" w:hAnsi="仿宋" w:hint="eastAsia"/>
          <w:sz w:val="28"/>
          <w:szCs w:val="28"/>
        </w:rPr>
        <w:t>主要用于“在职人员经费、机构运转工作经费、乌兰夫公园物业保洁费、乌兰夫公园园林绿化维护管理费、临时讲解员工资、爱国主义教育基地建设工程经费、爱国主义教育基地陈列布展装修项目经费、乌兰夫公园南门、南门外、北门消防通道等维修经费、乌兰夫故居陈列布展经费等”方面支出。</w:t>
      </w:r>
    </w:p>
    <w:p w:rsidR="00B67AF9" w:rsidRDefault="00B829DB">
      <w:pPr>
        <w:spacing w:line="560" w:lineRule="exact"/>
        <w:ind w:firstLineChars="200" w:firstLine="640"/>
        <w:rPr>
          <w:rFonts w:ascii="方正小标宋简体" w:eastAsia="方正小标宋简体"/>
          <w:sz w:val="32"/>
          <w:szCs w:val="32"/>
        </w:rPr>
      </w:pPr>
      <w:r>
        <w:rPr>
          <w:rFonts w:ascii="黑体" w:eastAsia="黑体" w:hAnsi="黑体" w:hint="eastAsia"/>
          <w:color w:val="000000"/>
          <w:sz w:val="32"/>
          <w:szCs w:val="32"/>
        </w:rPr>
        <w:t>二、一般公共预算财政拨款收支情况说明</w:t>
      </w:r>
    </w:p>
    <w:p w:rsidR="00B67AF9" w:rsidRDefault="00B829DB">
      <w:pPr>
        <w:spacing w:line="560" w:lineRule="exact"/>
        <w:ind w:firstLineChars="200" w:firstLine="560"/>
        <w:rPr>
          <w:rFonts w:ascii="仿宋" w:eastAsia="仿宋" w:hAnsi="仿宋"/>
          <w:sz w:val="28"/>
          <w:szCs w:val="28"/>
        </w:rPr>
      </w:pPr>
      <w:r>
        <w:rPr>
          <w:rFonts w:ascii="仿宋" w:eastAsia="仿宋" w:hAnsi="仿宋" w:hint="eastAsia"/>
          <w:sz w:val="28"/>
          <w:szCs w:val="28"/>
        </w:rPr>
        <w:t>（一）财政拨款规模情况</w:t>
      </w:r>
    </w:p>
    <w:p w:rsidR="00B67AF9" w:rsidRDefault="00B829DB">
      <w:pPr>
        <w:spacing w:line="560" w:lineRule="exact"/>
        <w:ind w:firstLineChars="200" w:firstLine="560"/>
        <w:rPr>
          <w:rFonts w:ascii="仿宋" w:eastAsia="仿宋" w:hAnsi="仿宋"/>
          <w:b/>
          <w:sz w:val="28"/>
          <w:szCs w:val="28"/>
        </w:rPr>
      </w:pPr>
      <w:r>
        <w:rPr>
          <w:rFonts w:ascii="仿宋" w:eastAsia="仿宋" w:hAnsi="仿宋" w:hint="eastAsia"/>
          <w:sz w:val="28"/>
          <w:szCs w:val="28"/>
        </w:rPr>
        <w:t>财政拨款收支预算</w:t>
      </w:r>
      <w:r w:rsidR="00864F5A">
        <w:rPr>
          <w:rFonts w:ascii="仿宋" w:eastAsia="仿宋" w:hAnsi="仿宋" w:hint="eastAsia"/>
          <w:sz w:val="28"/>
          <w:szCs w:val="28"/>
        </w:rPr>
        <w:t>4323.15</w:t>
      </w:r>
      <w:r>
        <w:rPr>
          <w:rFonts w:ascii="仿宋" w:eastAsia="仿宋" w:hAnsi="仿宋" w:hint="eastAsia"/>
          <w:sz w:val="28"/>
          <w:szCs w:val="28"/>
        </w:rPr>
        <w:t>万元，包括：一般公共预算财政拨款</w:t>
      </w:r>
      <w:r w:rsidR="00864F5A">
        <w:rPr>
          <w:rFonts w:ascii="仿宋" w:eastAsia="仿宋" w:hAnsi="仿宋" w:hint="eastAsia"/>
          <w:sz w:val="28"/>
          <w:szCs w:val="28"/>
        </w:rPr>
        <w:t>1689.27</w:t>
      </w:r>
      <w:r>
        <w:rPr>
          <w:rFonts w:ascii="仿宋" w:eastAsia="仿宋" w:hAnsi="仿宋" w:hint="eastAsia"/>
          <w:sz w:val="28"/>
          <w:szCs w:val="28"/>
        </w:rPr>
        <w:t>万元，政府性基金预算财政拨款2000万元，</w:t>
      </w:r>
      <w:r>
        <w:rPr>
          <w:rFonts w:ascii="仿宋" w:eastAsia="仿宋" w:hAnsi="仿宋" w:hint="eastAsia"/>
          <w:color w:val="000000" w:themeColor="text1"/>
          <w:sz w:val="28"/>
          <w:szCs w:val="28"/>
        </w:rPr>
        <w:t>上年结转633.88 万元。</w:t>
      </w:r>
    </w:p>
    <w:p w:rsidR="00B67AF9" w:rsidRDefault="00B829DB">
      <w:pPr>
        <w:spacing w:line="560" w:lineRule="exact"/>
        <w:ind w:firstLineChars="200" w:firstLine="560"/>
        <w:rPr>
          <w:rFonts w:ascii="仿宋" w:eastAsia="仿宋" w:hAnsi="仿宋"/>
          <w:sz w:val="28"/>
          <w:szCs w:val="28"/>
        </w:rPr>
      </w:pPr>
      <w:r>
        <w:rPr>
          <w:rFonts w:ascii="仿宋" w:eastAsia="仿宋" w:hAnsi="仿宋" w:hint="eastAsia"/>
          <w:sz w:val="28"/>
          <w:szCs w:val="28"/>
        </w:rPr>
        <w:t>（二）一般公共预算财政拨款具体使用安排情况</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 文化旅游体育与传媒类</w:t>
      </w:r>
      <w:r w:rsidR="0087020D">
        <w:rPr>
          <w:rFonts w:ascii="仿宋" w:eastAsia="仿宋" w:hAnsi="仿宋" w:hint="eastAsia"/>
          <w:sz w:val="28"/>
          <w:szCs w:val="28"/>
        </w:rPr>
        <w:t>1539.18</w:t>
      </w:r>
      <w:r>
        <w:rPr>
          <w:rFonts w:ascii="仿宋" w:eastAsia="仿宋" w:hAnsi="仿宋" w:hint="eastAsia"/>
          <w:sz w:val="28"/>
          <w:szCs w:val="28"/>
        </w:rPr>
        <w:t xml:space="preserve"> 万元，比上年预算数增加</w:t>
      </w:r>
      <w:r w:rsidR="00AE05DE">
        <w:rPr>
          <w:rFonts w:ascii="仿宋" w:eastAsia="仿宋" w:hAnsi="仿宋" w:hint="eastAsia"/>
          <w:sz w:val="28"/>
          <w:szCs w:val="28"/>
        </w:rPr>
        <w:t>159.93</w:t>
      </w:r>
      <w:r>
        <w:rPr>
          <w:rFonts w:ascii="仿宋" w:eastAsia="仿宋" w:hAnsi="仿宋" w:hint="eastAsia"/>
          <w:sz w:val="28"/>
          <w:szCs w:val="28"/>
        </w:rPr>
        <w:t>万元。主要用于支付在职人员工资、机构运转工作经费、乌兰夫公园物业保洁费、乌兰夫公园园林绿化维护管理费、临时讲解员</w:t>
      </w:r>
      <w:r>
        <w:rPr>
          <w:rFonts w:ascii="仿宋" w:eastAsia="仿宋" w:hAnsi="仿宋" w:hint="eastAsia"/>
          <w:sz w:val="28"/>
          <w:szCs w:val="28"/>
        </w:rPr>
        <w:lastRenderedPageBreak/>
        <w:t>工资、乌兰夫故居陈列布展经费、乌兰夫公园南门、南门外、北门消防通道等维修经费等。</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2、社会保障和就业类</w:t>
      </w:r>
      <w:r w:rsidR="00D52912">
        <w:rPr>
          <w:rFonts w:ascii="仿宋" w:eastAsia="仿宋" w:hAnsi="仿宋" w:hint="eastAsia"/>
          <w:sz w:val="28"/>
          <w:szCs w:val="28"/>
        </w:rPr>
        <w:t>93.43</w:t>
      </w:r>
      <w:r>
        <w:rPr>
          <w:rFonts w:ascii="仿宋" w:eastAsia="仿宋" w:hAnsi="仿宋" w:hint="eastAsia"/>
          <w:sz w:val="28"/>
          <w:szCs w:val="28"/>
        </w:rPr>
        <w:t>万元，比上年预算数减少</w:t>
      </w:r>
      <w:r w:rsidR="00AE05DE">
        <w:rPr>
          <w:rFonts w:ascii="仿宋" w:eastAsia="仿宋" w:hAnsi="仿宋" w:hint="eastAsia"/>
          <w:sz w:val="28"/>
          <w:szCs w:val="28"/>
        </w:rPr>
        <w:t>25.04</w:t>
      </w:r>
      <w:r>
        <w:rPr>
          <w:rFonts w:ascii="仿宋" w:eastAsia="仿宋" w:hAnsi="仿宋" w:hint="eastAsia"/>
          <w:sz w:val="28"/>
          <w:szCs w:val="28"/>
        </w:rPr>
        <w:t>万元。主要用于支付退休人员工资、机关事业单位基本养老保险、职业年金缴费。</w:t>
      </w:r>
    </w:p>
    <w:p w:rsidR="00B67AF9" w:rsidRDefault="00B829DB">
      <w:pPr>
        <w:adjustRightInd w:val="0"/>
        <w:snapToGrid w:val="0"/>
        <w:spacing w:line="560" w:lineRule="exact"/>
        <w:ind w:firstLineChars="200" w:firstLine="560"/>
        <w:rPr>
          <w:rFonts w:ascii="仿宋" w:eastAsia="仿宋" w:hAnsi="仿宋"/>
          <w:b/>
          <w:sz w:val="28"/>
          <w:szCs w:val="28"/>
        </w:rPr>
      </w:pPr>
      <w:r>
        <w:rPr>
          <w:rFonts w:ascii="仿宋" w:eastAsia="仿宋" w:hAnsi="仿宋" w:hint="eastAsia"/>
          <w:sz w:val="28"/>
          <w:szCs w:val="28"/>
        </w:rPr>
        <w:t>3、卫生健康类</w:t>
      </w:r>
      <w:r w:rsidR="007D71F4">
        <w:rPr>
          <w:rFonts w:ascii="仿宋" w:eastAsia="仿宋" w:hAnsi="仿宋" w:hint="eastAsia"/>
          <w:sz w:val="28"/>
          <w:szCs w:val="28"/>
        </w:rPr>
        <w:t>24.84</w:t>
      </w:r>
      <w:r>
        <w:rPr>
          <w:rFonts w:ascii="仿宋" w:eastAsia="仿宋" w:hAnsi="仿宋" w:hint="eastAsia"/>
          <w:sz w:val="28"/>
          <w:szCs w:val="28"/>
        </w:rPr>
        <w:t xml:space="preserve">万元，比上年预算数增加0.54万元。主要用于支付在职人员的医疗、生育、公务员医疗补助缴费。    </w:t>
      </w:r>
    </w:p>
    <w:p w:rsidR="00B67AF9" w:rsidRDefault="00B829DB">
      <w:pPr>
        <w:adjustRightInd w:val="0"/>
        <w:snapToGrid w:val="0"/>
        <w:spacing w:line="560" w:lineRule="exact"/>
        <w:ind w:firstLine="640"/>
        <w:rPr>
          <w:rFonts w:ascii="仿宋" w:eastAsia="仿宋" w:hAnsi="仿宋"/>
          <w:color w:val="000000"/>
          <w:sz w:val="28"/>
          <w:szCs w:val="28"/>
        </w:rPr>
      </w:pPr>
      <w:r>
        <w:rPr>
          <w:rFonts w:ascii="仿宋" w:eastAsia="仿宋" w:hAnsi="仿宋" w:hint="eastAsia"/>
          <w:color w:val="000000"/>
          <w:sz w:val="28"/>
          <w:szCs w:val="28"/>
        </w:rPr>
        <w:t>4、住房保障类</w:t>
      </w:r>
      <w:r w:rsidR="00AE05DE">
        <w:rPr>
          <w:rFonts w:ascii="仿宋" w:eastAsia="仿宋" w:hAnsi="仿宋" w:hint="eastAsia"/>
          <w:color w:val="000000"/>
          <w:sz w:val="28"/>
          <w:szCs w:val="28"/>
        </w:rPr>
        <w:t>31.82</w:t>
      </w:r>
      <w:r>
        <w:rPr>
          <w:rFonts w:ascii="仿宋" w:eastAsia="仿宋" w:hAnsi="仿宋" w:hint="eastAsia"/>
          <w:color w:val="000000"/>
          <w:sz w:val="28"/>
          <w:szCs w:val="28"/>
        </w:rPr>
        <w:t>万元，</w:t>
      </w:r>
      <w:r>
        <w:rPr>
          <w:rFonts w:ascii="仿宋" w:eastAsia="仿宋" w:hAnsi="仿宋" w:hint="eastAsia"/>
          <w:sz w:val="28"/>
          <w:szCs w:val="28"/>
        </w:rPr>
        <w:t>比上年预算数增加0.74万元。主要用于支付在职人员的住房公积金缴费。</w:t>
      </w:r>
    </w:p>
    <w:p w:rsidR="00B67AF9" w:rsidRDefault="00B829DB">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三、政府性基金预算财政拨款支出情况说明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政府性基金预算财政拨款2000万元，比上年预算数增加2000万元，增长 100 %。主要用于爱国主义基地建设陈列布展装修和爱国主义教育基地建设工程经费。</w:t>
      </w:r>
    </w:p>
    <w:p w:rsidR="00B67AF9" w:rsidRDefault="00B829DB">
      <w:pPr>
        <w:adjustRightInd w:val="0"/>
        <w:snapToGrid w:val="0"/>
        <w:spacing w:line="560" w:lineRule="exact"/>
        <w:ind w:firstLineChars="200" w:firstLine="640"/>
        <w:rPr>
          <w:rFonts w:eastAsia="仿宋_GB2312"/>
          <w:sz w:val="32"/>
          <w:szCs w:val="32"/>
        </w:rPr>
      </w:pPr>
      <w:r>
        <w:rPr>
          <w:rFonts w:ascii="黑体" w:eastAsia="黑体" w:hAnsi="黑体" w:hint="eastAsia"/>
          <w:color w:val="000000"/>
          <w:sz w:val="32"/>
          <w:szCs w:val="32"/>
        </w:rPr>
        <w:t>四、财政拨款“三公”经费预算情况说明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财政拨款“三公”经费支出预算 0.24万元，比上年预算减少0.11万元，下降45.83%，根据相关规定按财政要求压缩本单位财政支出，减少公务接待费；本年预算比上年执行数减少0.16万元，下降200 %，根据相关规定按财政要求压缩本单位财政支出，减少公务接待费。</w:t>
      </w:r>
      <w:bookmarkStart w:id="0" w:name="_GoBack"/>
      <w:bookmarkEnd w:id="0"/>
      <w:r>
        <w:rPr>
          <w:rFonts w:ascii="仿宋" w:eastAsia="仿宋" w:hAnsi="仿宋" w:hint="eastAsia"/>
          <w:sz w:val="28"/>
          <w:szCs w:val="28"/>
        </w:rPr>
        <w:t>其中：</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1、因公出国（境）费用 0 万元，比上年预算数增加（减少）0 万元，增长（下降）0 %，本年预算比上年执行数增加（减少）0万元，增长（下降）0  %。增加（减少）主要是由于我单位无因公出国（境）费用。</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2、公务接待费0.24万元，比上年预算数减少0.11 万元，下降</w:t>
      </w:r>
      <w:r>
        <w:rPr>
          <w:rFonts w:ascii="仿宋" w:eastAsia="仿宋" w:hAnsi="仿宋" w:hint="eastAsia"/>
          <w:sz w:val="28"/>
          <w:szCs w:val="28"/>
        </w:rPr>
        <w:lastRenderedPageBreak/>
        <w:t>45.83%，根据相关规定按财政要求压缩本单位财政支出，减少公务接待费；本年预算比上年执行数减少0.16万元，下降200%，根据相关规定按财政要求压缩本单位财政支出，减少公务接待费用。</w:t>
      </w:r>
    </w:p>
    <w:p w:rsidR="00B67AF9" w:rsidRDefault="00B829DB">
      <w:pPr>
        <w:adjustRightInd w:val="0"/>
        <w:snapToGrid w:val="0"/>
        <w:spacing w:line="560" w:lineRule="exact"/>
        <w:ind w:leftChars="76" w:left="160" w:firstLineChars="150" w:firstLine="420"/>
        <w:rPr>
          <w:rFonts w:ascii="仿宋" w:eastAsia="仿宋" w:hAnsi="仿宋"/>
          <w:sz w:val="28"/>
          <w:szCs w:val="28"/>
        </w:rPr>
      </w:pPr>
      <w:r>
        <w:rPr>
          <w:rFonts w:ascii="仿宋" w:eastAsia="仿宋" w:hAnsi="仿宋" w:hint="eastAsia"/>
          <w:sz w:val="28"/>
          <w:szCs w:val="28"/>
        </w:rPr>
        <w:t>3、公务用车购置及运行维护费0万元，比上年预算增加（减少）0万元，下降0 %，本年预算比上年执行数增加（减少）0万元，下降0%。其中，公务用车购置0万元，比上年预算减少0万元，增长（下降）0%，本年预算比上年执行数增加（减少）0万元，增长（下降）0%；公务用车运行维护费0万元，本年预算比上年预算增加（减少）0万元，增长（下降）0%，比上年执行数增加（减少）0万元，下降0%。主要是由于我单位无公务用车。</w:t>
      </w:r>
    </w:p>
    <w:p w:rsidR="00B67AF9" w:rsidRDefault="00B67AF9">
      <w:pPr>
        <w:adjustRightInd w:val="0"/>
        <w:snapToGrid w:val="0"/>
        <w:spacing w:line="560" w:lineRule="exact"/>
        <w:ind w:leftChars="76" w:left="160" w:firstLineChars="150" w:firstLine="420"/>
        <w:rPr>
          <w:rFonts w:ascii="仿宋" w:eastAsia="仿宋" w:hAnsi="仿宋" w:cs="仿宋"/>
          <w:sz w:val="28"/>
          <w:szCs w:val="28"/>
        </w:rPr>
      </w:pPr>
    </w:p>
    <w:p w:rsidR="00B67AF9" w:rsidRDefault="00B829DB">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第三部分  其他公开事项说明</w:t>
      </w:r>
    </w:p>
    <w:p w:rsidR="00B67AF9" w:rsidRDefault="00B67AF9">
      <w:pPr>
        <w:adjustRightInd w:val="0"/>
        <w:snapToGrid w:val="0"/>
        <w:spacing w:line="560" w:lineRule="exact"/>
        <w:jc w:val="center"/>
        <w:rPr>
          <w:rFonts w:ascii="楷体_GB2312" w:eastAsia="楷体_GB2312" w:hAnsi="黑体"/>
          <w:b/>
          <w:color w:val="000000"/>
          <w:sz w:val="36"/>
          <w:szCs w:val="36"/>
        </w:rPr>
      </w:pPr>
    </w:p>
    <w:p w:rsidR="00B67AF9" w:rsidRDefault="00B829DB">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一、机关运行经费安排情况说明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B67AF9" w:rsidRDefault="00B829DB">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2021年，我单位机关运行</w:t>
      </w:r>
      <w:r>
        <w:rPr>
          <w:rFonts w:ascii="仿宋" w:eastAsia="仿宋" w:hAnsi="仿宋" w:hint="eastAsia"/>
          <w:color w:val="000000"/>
          <w:sz w:val="28"/>
          <w:szCs w:val="28"/>
        </w:rPr>
        <w:t>经费财政拨款</w:t>
      </w:r>
      <w:r>
        <w:rPr>
          <w:rFonts w:ascii="仿宋" w:eastAsia="仿宋" w:hAnsi="仿宋" w:hint="eastAsia"/>
          <w:sz w:val="28"/>
          <w:szCs w:val="28"/>
        </w:rPr>
        <w:t>预算</w:t>
      </w:r>
      <w:r w:rsidR="00136044">
        <w:rPr>
          <w:rFonts w:ascii="仿宋" w:eastAsia="仿宋" w:hAnsi="仿宋" w:hint="eastAsia"/>
          <w:sz w:val="28"/>
          <w:szCs w:val="28"/>
        </w:rPr>
        <w:t>10.94</w:t>
      </w:r>
      <w:r>
        <w:rPr>
          <w:rFonts w:ascii="仿宋" w:eastAsia="仿宋" w:hAnsi="仿宋" w:hint="eastAsia"/>
          <w:color w:val="000000"/>
          <w:sz w:val="28"/>
          <w:szCs w:val="28"/>
        </w:rPr>
        <w:t>万元，比上年增加（</w:t>
      </w:r>
      <w:r>
        <w:rPr>
          <w:rFonts w:ascii="仿宋" w:eastAsia="仿宋" w:hAnsi="仿宋" w:hint="eastAsia"/>
          <w:sz w:val="28"/>
          <w:szCs w:val="28"/>
        </w:rPr>
        <w:t>减少）0</w:t>
      </w:r>
      <w:r>
        <w:rPr>
          <w:rFonts w:ascii="仿宋" w:eastAsia="仿宋" w:hAnsi="仿宋" w:hint="eastAsia"/>
          <w:color w:val="000000"/>
          <w:sz w:val="28"/>
          <w:szCs w:val="28"/>
        </w:rPr>
        <w:t>万元，增长（</w:t>
      </w:r>
      <w:r>
        <w:rPr>
          <w:rFonts w:ascii="仿宋" w:eastAsia="仿宋" w:hAnsi="仿宋" w:hint="eastAsia"/>
          <w:sz w:val="28"/>
          <w:szCs w:val="28"/>
        </w:rPr>
        <w:t>下降）0%</w:t>
      </w:r>
      <w:r>
        <w:rPr>
          <w:rFonts w:ascii="仿宋" w:eastAsia="仿宋" w:hAnsi="仿宋" w:hint="eastAsia"/>
          <w:color w:val="000000"/>
          <w:sz w:val="28"/>
          <w:szCs w:val="28"/>
        </w:rPr>
        <w:t>。与上年相比无变化。</w:t>
      </w:r>
    </w:p>
    <w:p w:rsidR="00B67AF9" w:rsidRDefault="00B829DB">
      <w:pPr>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二、政府采购预算情况说明</w:t>
      </w:r>
    </w:p>
    <w:p w:rsidR="00B67AF9" w:rsidRDefault="00B829DB">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政府采购预算总额746.57万元，其中：政府采购货物预算6万元，政府采购工程预算0万元，政府采购服务预算740.57万元。</w:t>
      </w:r>
    </w:p>
    <w:p w:rsidR="00B67AF9" w:rsidRDefault="00B829DB">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三、国有资产占有使用情况说明</w:t>
      </w:r>
    </w:p>
    <w:p w:rsidR="00B67AF9" w:rsidRDefault="00B829DB">
      <w:pPr>
        <w:spacing w:line="580" w:lineRule="exact"/>
        <w:ind w:firstLine="600"/>
        <w:rPr>
          <w:rFonts w:ascii="仿宋" w:eastAsia="仿宋" w:hAnsi="仿宋" w:cs="仿宋"/>
          <w:color w:val="000000"/>
          <w:sz w:val="28"/>
          <w:szCs w:val="28"/>
        </w:rPr>
      </w:pPr>
      <w:r>
        <w:rPr>
          <w:rFonts w:ascii="仿宋" w:eastAsia="仿宋" w:hAnsi="仿宋" w:cs="仿宋" w:hint="eastAsia"/>
          <w:color w:val="000000"/>
          <w:sz w:val="28"/>
          <w:szCs w:val="28"/>
        </w:rPr>
        <w:lastRenderedPageBreak/>
        <w:t>截至2020年末，</w:t>
      </w:r>
      <w:r>
        <w:rPr>
          <w:rFonts w:ascii="仿宋" w:eastAsia="仿宋" w:hAnsi="仿宋" w:hint="eastAsia"/>
          <w:sz w:val="28"/>
          <w:szCs w:val="28"/>
        </w:rPr>
        <w:t xml:space="preserve">本部门共有车辆 </w:t>
      </w:r>
      <w:r>
        <w:rPr>
          <w:rFonts w:ascii="仿宋" w:eastAsia="仿宋" w:hAnsi="仿宋"/>
          <w:sz w:val="28"/>
          <w:szCs w:val="28"/>
        </w:rPr>
        <w:t>6</w:t>
      </w:r>
      <w:r>
        <w:rPr>
          <w:rFonts w:ascii="仿宋" w:eastAsia="仿宋" w:hAnsi="仿宋" w:hint="eastAsia"/>
          <w:sz w:val="28"/>
          <w:szCs w:val="28"/>
        </w:rPr>
        <w:t>辆，其中，部级领导干部用车</w:t>
      </w:r>
      <w:r>
        <w:rPr>
          <w:rFonts w:ascii="仿宋" w:eastAsia="仿宋" w:hAnsi="仿宋"/>
          <w:sz w:val="28"/>
          <w:szCs w:val="28"/>
        </w:rPr>
        <w:t>0</w:t>
      </w:r>
      <w:r>
        <w:rPr>
          <w:rFonts w:ascii="仿宋" w:eastAsia="仿宋" w:hAnsi="仿宋" w:hint="eastAsia"/>
          <w:sz w:val="28"/>
          <w:szCs w:val="28"/>
        </w:rPr>
        <w:t>辆,比2019年</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一般公务用车 0辆，比2019年末</w:t>
      </w:r>
      <w:r>
        <w:rPr>
          <w:rFonts w:ascii="仿宋" w:eastAsia="仿宋" w:hAnsi="仿宋" w:hint="eastAsia"/>
          <w:color w:val="000000"/>
          <w:sz w:val="28"/>
          <w:szCs w:val="28"/>
        </w:rPr>
        <w:t>减少1</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一般执法执勤用车0辆，比2019年末</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特种专业技术用车0辆，比2019末</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其他用车6辆，其他用车主要是清洁车2辆，巡逻车3辆</w:t>
      </w:r>
      <w:r>
        <w:rPr>
          <w:rFonts w:ascii="仿宋" w:eastAsia="仿宋" w:hAnsi="仿宋" w:hint="eastAsia"/>
          <w:color w:val="000000"/>
          <w:sz w:val="28"/>
          <w:szCs w:val="28"/>
        </w:rPr>
        <w:t>，电动消防车1辆，</w:t>
      </w:r>
      <w:r>
        <w:rPr>
          <w:rFonts w:ascii="仿宋" w:eastAsia="仿宋" w:hAnsi="仿宋" w:hint="eastAsia"/>
          <w:sz w:val="28"/>
          <w:szCs w:val="28"/>
        </w:rPr>
        <w:t>比2019年末</w:t>
      </w:r>
      <w:r>
        <w:rPr>
          <w:rFonts w:ascii="仿宋" w:eastAsia="仿宋" w:hAnsi="仿宋" w:hint="eastAsia"/>
          <w:color w:val="000000"/>
          <w:sz w:val="28"/>
          <w:szCs w:val="28"/>
        </w:rPr>
        <w:t>增加1</w:t>
      </w:r>
      <w:r>
        <w:rPr>
          <w:rFonts w:ascii="仿宋" w:eastAsia="仿宋" w:hAnsi="仿宋" w:hint="eastAsia"/>
          <w:sz w:val="28"/>
          <w:szCs w:val="28"/>
        </w:rPr>
        <w:t>辆，单位价值50万元以上通用设备 0台（套），比2019年末</w:t>
      </w:r>
      <w:r>
        <w:rPr>
          <w:rFonts w:ascii="仿宋" w:eastAsia="仿宋" w:hAnsi="仿宋" w:hint="eastAsia"/>
          <w:color w:val="000000"/>
          <w:sz w:val="28"/>
          <w:szCs w:val="28"/>
        </w:rPr>
        <w:t>增加（减少）</w:t>
      </w:r>
      <w:r>
        <w:rPr>
          <w:rFonts w:ascii="仿宋" w:eastAsia="仿宋" w:hAnsi="仿宋" w:hint="eastAsia"/>
          <w:sz w:val="28"/>
          <w:szCs w:val="28"/>
        </w:rPr>
        <w:t>0</w:t>
      </w:r>
      <w:r>
        <w:rPr>
          <w:rFonts w:ascii="仿宋" w:eastAsia="仿宋" w:hAnsi="仿宋" w:hint="eastAsia"/>
          <w:color w:val="000000"/>
          <w:sz w:val="28"/>
          <w:szCs w:val="28"/>
        </w:rPr>
        <w:t>台（套）;</w:t>
      </w:r>
      <w:r>
        <w:rPr>
          <w:rFonts w:ascii="仿宋" w:eastAsia="仿宋" w:hAnsi="仿宋" w:hint="eastAsia"/>
          <w:sz w:val="28"/>
          <w:szCs w:val="28"/>
        </w:rPr>
        <w:t>单位价值200万元以上大型专用设备0台（套），比2019年末</w:t>
      </w:r>
      <w:r>
        <w:rPr>
          <w:rFonts w:ascii="仿宋" w:eastAsia="仿宋" w:hAnsi="仿宋" w:hint="eastAsia"/>
          <w:color w:val="000000"/>
          <w:sz w:val="28"/>
          <w:szCs w:val="28"/>
        </w:rPr>
        <w:t>增加（减少）0台（套）。</w:t>
      </w:r>
    </w:p>
    <w:p w:rsidR="00B67AF9" w:rsidRDefault="00B829DB">
      <w:pPr>
        <w:snapToGrid w:val="0"/>
        <w:spacing w:line="560" w:lineRule="exact"/>
        <w:ind w:firstLineChars="200" w:firstLine="640"/>
        <w:rPr>
          <w:rFonts w:ascii="黑体" w:eastAsia="黑体" w:hAnsi="黑体"/>
          <w:sz w:val="32"/>
          <w:szCs w:val="32"/>
        </w:rPr>
      </w:pPr>
      <w:r>
        <w:rPr>
          <w:rFonts w:ascii="黑体" w:eastAsia="黑体" w:hint="eastAsia"/>
          <w:sz w:val="32"/>
          <w:szCs w:val="32"/>
        </w:rPr>
        <w:t>四、</w:t>
      </w:r>
      <w:r>
        <w:rPr>
          <w:rFonts w:ascii="黑体" w:eastAsia="黑体" w:hAnsi="黑体" w:hint="eastAsia"/>
          <w:sz w:val="32"/>
          <w:szCs w:val="32"/>
        </w:rPr>
        <w:t>2021年度项目支出绩效目标情况说明</w:t>
      </w:r>
    </w:p>
    <w:p w:rsidR="00B67AF9" w:rsidRDefault="00B829DB">
      <w:pPr>
        <w:ind w:firstLineChars="200" w:firstLine="560"/>
        <w:rPr>
          <w:rFonts w:ascii="仿宋" w:eastAsia="仿宋" w:hAnsi="仿宋"/>
          <w:sz w:val="28"/>
          <w:szCs w:val="28"/>
        </w:rPr>
      </w:pPr>
      <w:r>
        <w:rPr>
          <w:rFonts w:ascii="仿宋" w:eastAsia="仿宋" w:hAnsi="仿宋" w:hint="eastAsia"/>
          <w:sz w:val="28"/>
          <w:szCs w:val="28"/>
        </w:rPr>
        <w:t>项目支出预算绩效目标填报情况</w:t>
      </w:r>
    </w:p>
    <w:p w:rsidR="00B67AF9" w:rsidRDefault="00B829DB">
      <w:pPr>
        <w:ind w:firstLineChars="200" w:firstLine="560"/>
        <w:rPr>
          <w:rFonts w:ascii="仿宋" w:eastAsia="仿宋" w:hAnsi="仿宋"/>
          <w:sz w:val="28"/>
          <w:szCs w:val="28"/>
        </w:rPr>
      </w:pPr>
      <w:r>
        <w:rPr>
          <w:rFonts w:ascii="仿宋" w:eastAsia="仿宋" w:hAnsi="仿宋" w:hint="eastAsia"/>
          <w:sz w:val="28"/>
          <w:szCs w:val="28"/>
        </w:rPr>
        <w:t>2021年，填报绩效目标的预算项目</w:t>
      </w:r>
      <w:r w:rsidR="00DF59C2">
        <w:rPr>
          <w:rFonts w:ascii="仿宋" w:eastAsia="仿宋" w:hAnsi="仿宋" w:hint="eastAsia"/>
          <w:sz w:val="28"/>
          <w:szCs w:val="28"/>
        </w:rPr>
        <w:t>13</w:t>
      </w:r>
      <w:r>
        <w:rPr>
          <w:rFonts w:ascii="仿宋" w:eastAsia="仿宋" w:hAnsi="仿宋" w:hint="eastAsia"/>
          <w:sz w:val="28"/>
          <w:szCs w:val="28"/>
        </w:rPr>
        <w:t>个，</w:t>
      </w:r>
      <w:bookmarkStart w:id="1" w:name="OLE_LINK1"/>
      <w:r>
        <w:rPr>
          <w:rFonts w:ascii="仿宋" w:eastAsia="仿宋" w:hAnsi="仿宋" w:hint="eastAsia"/>
          <w:sz w:val="28"/>
          <w:szCs w:val="28"/>
        </w:rPr>
        <w:t>公开绩效目标</w:t>
      </w:r>
      <w:r w:rsidR="00DF59C2">
        <w:rPr>
          <w:rFonts w:ascii="仿宋" w:eastAsia="仿宋" w:hAnsi="仿宋" w:hint="eastAsia"/>
          <w:sz w:val="28"/>
          <w:szCs w:val="28"/>
        </w:rPr>
        <w:t>13</w:t>
      </w:r>
      <w:r>
        <w:rPr>
          <w:rFonts w:ascii="仿宋" w:eastAsia="仿宋" w:hAnsi="仿宋" w:hint="eastAsia"/>
          <w:sz w:val="28"/>
          <w:szCs w:val="28"/>
        </w:rPr>
        <w:t>个，公开项目占全部预算项目的100%。</w:t>
      </w:r>
      <w:bookmarkEnd w:id="1"/>
      <w:r>
        <w:rPr>
          <w:rFonts w:ascii="仿宋" w:eastAsia="仿宋" w:hAnsi="仿宋" w:hint="eastAsia"/>
          <w:sz w:val="28"/>
          <w:szCs w:val="28"/>
        </w:rPr>
        <w:t>公开填报绩效目标的项目支出预算</w:t>
      </w:r>
      <w:r w:rsidR="00DF59C2">
        <w:rPr>
          <w:rFonts w:ascii="仿宋" w:eastAsia="仿宋" w:hAnsi="仿宋" w:hint="eastAsia"/>
          <w:sz w:val="28"/>
          <w:szCs w:val="28"/>
        </w:rPr>
        <w:t>3158.4</w:t>
      </w:r>
      <w:r>
        <w:rPr>
          <w:rFonts w:ascii="仿宋" w:eastAsia="仿宋" w:hAnsi="仿宋" w:hint="eastAsia"/>
          <w:sz w:val="28"/>
          <w:szCs w:val="28"/>
        </w:rPr>
        <w:t>2万元，占全部项目支出预算的100%。</w:t>
      </w:r>
    </w:p>
    <w:p w:rsidR="00B67AF9" w:rsidRDefault="00B829DB">
      <w:pPr>
        <w:ind w:firstLineChars="200" w:firstLine="560"/>
        <w:rPr>
          <w:rFonts w:ascii="仿宋" w:eastAsia="仿宋" w:hAnsi="仿宋"/>
          <w:sz w:val="28"/>
          <w:szCs w:val="28"/>
        </w:rPr>
      </w:pPr>
      <w:r>
        <w:rPr>
          <w:rFonts w:ascii="仿宋" w:eastAsia="仿宋" w:hAnsi="仿宋" w:hint="eastAsia"/>
          <w:sz w:val="28"/>
          <w:szCs w:val="28"/>
        </w:rPr>
        <w:t>（公开填报绩效目标的项目支出资金量不得低于预算批复资金的80%。）</w:t>
      </w:r>
    </w:p>
    <w:p w:rsidR="00B67AF9" w:rsidRDefault="00B829DB">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第四部分  名词解释</w:t>
      </w:r>
    </w:p>
    <w:p w:rsidR="00B67AF9" w:rsidRDefault="00B67AF9">
      <w:pPr>
        <w:snapToGrid w:val="0"/>
        <w:spacing w:line="560" w:lineRule="exact"/>
        <w:jc w:val="center"/>
        <w:rPr>
          <w:rFonts w:eastAsia="仿宋_GB2312"/>
          <w:color w:val="000000"/>
          <w:sz w:val="32"/>
          <w:szCs w:val="32"/>
        </w:rPr>
      </w:pP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一、一般公共预算财政拨款收入：是指自治区财政当年拨付的资金。</w:t>
      </w: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二、事业收入：是指事业单位开展专业业务活动及辅助活动所取得的收入。</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三、事业单位经营收入：是指事业单位在专业业务活动及其辅助活动之外开展非独立核算经营活动取得的收入。</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lastRenderedPageBreak/>
        <w:t>四、其他收入 ：是指除上述“一般公共预算财政拨款收入”、“事业收入”、“事业单位经营收入”等以外的收入。主要是指按规定动用的售房收入、存款利息收入等。</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六、上年结转和结余：是指以前年度尚未完成、结转到本年仍按原规定用途继续使用的资金。</w:t>
      </w:r>
    </w:p>
    <w:p w:rsidR="00B67AF9" w:rsidRDefault="00B829DB">
      <w:pPr>
        <w:snapToGrid w:val="0"/>
        <w:spacing w:line="560" w:lineRule="exact"/>
        <w:ind w:firstLine="645"/>
        <w:rPr>
          <w:rFonts w:ascii="仿宋" w:eastAsia="仿宋" w:hAnsi="仿宋"/>
          <w:sz w:val="28"/>
          <w:szCs w:val="28"/>
        </w:rPr>
      </w:pPr>
      <w:r>
        <w:rPr>
          <w:rFonts w:ascii="仿宋" w:eastAsia="仿宋" w:hAnsi="仿宋" w:hint="eastAsia"/>
          <w:sz w:val="28"/>
          <w:szCs w:val="28"/>
        </w:rPr>
        <w:t>七、基本支出：是指为保障机构正常运转，完成日常工作任务而发生的人员支出和共用支出。</w:t>
      </w:r>
    </w:p>
    <w:p w:rsidR="00B67AF9" w:rsidRDefault="00B829DB">
      <w:pPr>
        <w:snapToGrid w:val="0"/>
        <w:spacing w:line="560" w:lineRule="exact"/>
        <w:ind w:firstLine="645"/>
        <w:rPr>
          <w:rFonts w:ascii="仿宋" w:eastAsia="仿宋" w:hAnsi="仿宋"/>
          <w:sz w:val="28"/>
          <w:szCs w:val="28"/>
        </w:rPr>
      </w:pPr>
      <w:r>
        <w:rPr>
          <w:rFonts w:ascii="仿宋" w:eastAsia="仿宋" w:hAnsi="仿宋" w:hint="eastAsia"/>
          <w:sz w:val="28"/>
          <w:szCs w:val="28"/>
        </w:rPr>
        <w:t>八、项目支出：是指基本支出之外，为完成特定行政任务和事业发展目标所发生的支出。</w:t>
      </w:r>
    </w:p>
    <w:p w:rsidR="00B67AF9" w:rsidRDefault="00B829DB">
      <w:pPr>
        <w:snapToGrid w:val="0"/>
        <w:spacing w:line="560" w:lineRule="exact"/>
        <w:ind w:firstLine="645"/>
        <w:rPr>
          <w:rFonts w:ascii="仿宋" w:eastAsia="仿宋" w:hAnsi="仿宋"/>
          <w:sz w:val="28"/>
          <w:szCs w:val="28"/>
        </w:rPr>
      </w:pPr>
      <w:r>
        <w:rPr>
          <w:rFonts w:ascii="仿宋" w:eastAsia="仿宋" w:hAnsi="仿宋" w:hint="eastAsia"/>
          <w:sz w:val="28"/>
          <w:szCs w:val="28"/>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十、机关运行经费：是指为保障行政单位（含参照公务员法管理</w:t>
      </w:r>
      <w:r>
        <w:rPr>
          <w:rFonts w:ascii="仿宋" w:eastAsia="仿宋" w:hAnsi="仿宋" w:hint="eastAsia"/>
          <w:sz w:val="28"/>
          <w:szCs w:val="28"/>
        </w:rPr>
        <w:lastRenderedPageBreak/>
        <w:t>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十一、工资福利支出（支出经济分类科目类级）：反映单位开支的在职职工和编制外长期聘用人员的各类活动报酬，以及为上述人员缴纳的各项社会保险费等。</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十二、商品和服务支出（支出经济分类科目类级）：反映单位购买商品和服务的支出（不包括用于购置固定资产的支出、战略性和应急储备支出）。</w:t>
      </w:r>
    </w:p>
    <w:p w:rsidR="00B67AF9" w:rsidRDefault="00B67AF9">
      <w:pPr>
        <w:snapToGrid w:val="0"/>
        <w:spacing w:line="560" w:lineRule="exact"/>
        <w:ind w:firstLineChars="200" w:firstLine="560"/>
        <w:rPr>
          <w:rFonts w:ascii="仿宋" w:eastAsia="仿宋" w:hAnsi="仿宋"/>
          <w:sz w:val="28"/>
          <w:szCs w:val="28"/>
        </w:rPr>
      </w:pPr>
    </w:p>
    <w:p w:rsidR="00B67AF9" w:rsidRDefault="00B829DB">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第五部分  预算公开联系方式及信息反馈渠道</w:t>
      </w:r>
    </w:p>
    <w:p w:rsidR="00B67AF9" w:rsidRDefault="00B67AF9">
      <w:pPr>
        <w:snapToGrid w:val="0"/>
        <w:spacing w:line="560" w:lineRule="exact"/>
        <w:jc w:val="center"/>
        <w:rPr>
          <w:rFonts w:ascii="楷体_GB2312" w:eastAsia="楷体_GB2312" w:hAnsi="黑体"/>
          <w:b/>
          <w:color w:val="000000"/>
          <w:sz w:val="36"/>
          <w:szCs w:val="36"/>
        </w:rPr>
      </w:pP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本单位预算公开信息反馈和联系方式：</w:t>
      </w: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联系人：李桂芝        联系电话：3992340</w:t>
      </w:r>
    </w:p>
    <w:p w:rsidR="00B67AF9" w:rsidRDefault="00B67AF9">
      <w:pPr>
        <w:adjustRightInd w:val="0"/>
        <w:snapToGrid w:val="0"/>
        <w:spacing w:line="560" w:lineRule="exact"/>
        <w:ind w:leftChars="76" w:left="160" w:firstLineChars="150" w:firstLine="480"/>
        <w:rPr>
          <w:rFonts w:ascii="仿宋_GB2312" w:eastAsia="仿宋_GB2312"/>
          <w:sz w:val="32"/>
          <w:szCs w:val="32"/>
        </w:rPr>
      </w:pPr>
    </w:p>
    <w:p w:rsidR="00B67AF9" w:rsidRDefault="00B829DB">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第六部分  部门预算公开表</w:t>
      </w:r>
    </w:p>
    <w:p w:rsidR="00B67AF9" w:rsidRDefault="00B67AF9">
      <w:pPr>
        <w:snapToGrid w:val="0"/>
        <w:spacing w:line="560" w:lineRule="exact"/>
        <w:ind w:firstLineChars="200" w:firstLine="720"/>
        <w:rPr>
          <w:rFonts w:ascii="仿宋_GB2312" w:eastAsia="仿宋_GB2312" w:hAnsi="黑体"/>
          <w:color w:val="000000"/>
          <w:sz w:val="36"/>
          <w:szCs w:val="36"/>
        </w:rPr>
      </w:pPr>
    </w:p>
    <w:p w:rsidR="00B67AF9" w:rsidRDefault="00B829DB">
      <w:pPr>
        <w:ind w:firstLineChars="200" w:firstLine="560"/>
        <w:rPr>
          <w:rFonts w:ascii="仿宋" w:eastAsia="仿宋" w:hAnsi="仿宋"/>
          <w:sz w:val="28"/>
          <w:szCs w:val="28"/>
        </w:rPr>
      </w:pPr>
      <w:r>
        <w:rPr>
          <w:rFonts w:ascii="仿宋" w:eastAsia="仿宋" w:hAnsi="仿宋" w:hint="eastAsia"/>
          <w:color w:val="000000"/>
          <w:sz w:val="28"/>
          <w:szCs w:val="28"/>
        </w:rPr>
        <w:t>详见附表：部门预算公开8张表以总表形式上传，项目支出绩效目标表以总表形式上传。（样式见自治区部门预算公开样式）</w:t>
      </w:r>
    </w:p>
    <w:p w:rsidR="00B67AF9" w:rsidRDefault="00B67AF9">
      <w:pPr>
        <w:spacing w:line="580" w:lineRule="exact"/>
        <w:ind w:firstLineChars="200" w:firstLine="560"/>
        <w:rPr>
          <w:rFonts w:ascii="仿宋" w:eastAsia="仿宋" w:hAnsi="仿宋"/>
          <w:sz w:val="28"/>
          <w:szCs w:val="28"/>
        </w:rPr>
      </w:pPr>
    </w:p>
    <w:p w:rsidR="00B67AF9" w:rsidRDefault="00B67AF9"/>
    <w:sectPr w:rsidR="00B67AF9" w:rsidSect="00B67AF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45" w:rsidRDefault="00FB1845" w:rsidP="00B67AF9">
      <w:r>
        <w:separator/>
      </w:r>
    </w:p>
  </w:endnote>
  <w:endnote w:type="continuationSeparator" w:id="1">
    <w:p w:rsidR="00FB1845" w:rsidRDefault="00FB1845" w:rsidP="00B67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5036"/>
      <w:docPartObj>
        <w:docPartGallery w:val="AutoText"/>
      </w:docPartObj>
    </w:sdtPr>
    <w:sdtContent>
      <w:p w:rsidR="00B67AF9" w:rsidRDefault="002B6B11">
        <w:pPr>
          <w:pStyle w:val="a3"/>
          <w:jc w:val="center"/>
        </w:pPr>
        <w:r w:rsidRPr="002B6B11">
          <w:fldChar w:fldCharType="begin"/>
        </w:r>
        <w:r w:rsidR="00B829DB">
          <w:instrText xml:space="preserve"> PAGE   \* MERGEFORMAT </w:instrText>
        </w:r>
        <w:r w:rsidRPr="002B6B11">
          <w:fldChar w:fldCharType="separate"/>
        </w:r>
        <w:r w:rsidR="00781F36" w:rsidRPr="00781F36">
          <w:rPr>
            <w:noProof/>
            <w:lang w:val="zh-CN"/>
          </w:rPr>
          <w:t>6</w:t>
        </w:r>
        <w:r>
          <w:rPr>
            <w:lang w:val="zh-CN"/>
          </w:rPr>
          <w:fldChar w:fldCharType="end"/>
        </w:r>
      </w:p>
    </w:sdtContent>
  </w:sdt>
  <w:p w:rsidR="00B67AF9" w:rsidRDefault="00B67A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45" w:rsidRDefault="00FB1845" w:rsidP="00B67AF9">
      <w:r>
        <w:separator/>
      </w:r>
    </w:p>
  </w:footnote>
  <w:footnote w:type="continuationSeparator" w:id="1">
    <w:p w:rsidR="00FB1845" w:rsidRDefault="00FB1845" w:rsidP="00B67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477"/>
    <w:rsid w:val="00037D78"/>
    <w:rsid w:val="000622E3"/>
    <w:rsid w:val="000761B3"/>
    <w:rsid w:val="000911D2"/>
    <w:rsid w:val="000B0689"/>
    <w:rsid w:val="000B559C"/>
    <w:rsid w:val="00131259"/>
    <w:rsid w:val="00136044"/>
    <w:rsid w:val="00137DC1"/>
    <w:rsid w:val="001E1B7D"/>
    <w:rsid w:val="001E49DA"/>
    <w:rsid w:val="001F5592"/>
    <w:rsid w:val="00215C5B"/>
    <w:rsid w:val="00231520"/>
    <w:rsid w:val="0023520E"/>
    <w:rsid w:val="002627C2"/>
    <w:rsid w:val="00275B45"/>
    <w:rsid w:val="002773E0"/>
    <w:rsid w:val="002842AD"/>
    <w:rsid w:val="00295C81"/>
    <w:rsid w:val="002B548F"/>
    <w:rsid w:val="002B6B11"/>
    <w:rsid w:val="002C5301"/>
    <w:rsid w:val="002C55E3"/>
    <w:rsid w:val="002D1278"/>
    <w:rsid w:val="002E0BF6"/>
    <w:rsid w:val="002F08CE"/>
    <w:rsid w:val="0033479B"/>
    <w:rsid w:val="00355855"/>
    <w:rsid w:val="003816A0"/>
    <w:rsid w:val="00390477"/>
    <w:rsid w:val="003A452F"/>
    <w:rsid w:val="003A602A"/>
    <w:rsid w:val="003B4CF2"/>
    <w:rsid w:val="003D3521"/>
    <w:rsid w:val="003E360B"/>
    <w:rsid w:val="003F47DC"/>
    <w:rsid w:val="003F6D99"/>
    <w:rsid w:val="00401014"/>
    <w:rsid w:val="00417383"/>
    <w:rsid w:val="0043551F"/>
    <w:rsid w:val="00462520"/>
    <w:rsid w:val="004A4461"/>
    <w:rsid w:val="004A66E2"/>
    <w:rsid w:val="004E4A40"/>
    <w:rsid w:val="00500090"/>
    <w:rsid w:val="005007E4"/>
    <w:rsid w:val="005043A7"/>
    <w:rsid w:val="005541B3"/>
    <w:rsid w:val="00580B26"/>
    <w:rsid w:val="00585EEA"/>
    <w:rsid w:val="005914A2"/>
    <w:rsid w:val="005A46EF"/>
    <w:rsid w:val="005A65C6"/>
    <w:rsid w:val="00601DDB"/>
    <w:rsid w:val="006316D2"/>
    <w:rsid w:val="00653F0A"/>
    <w:rsid w:val="006727D5"/>
    <w:rsid w:val="00682E48"/>
    <w:rsid w:val="006A0EAA"/>
    <w:rsid w:val="00734BCF"/>
    <w:rsid w:val="007528A6"/>
    <w:rsid w:val="00771795"/>
    <w:rsid w:val="00781F36"/>
    <w:rsid w:val="007A39A8"/>
    <w:rsid w:val="007D71F4"/>
    <w:rsid w:val="00810331"/>
    <w:rsid w:val="0082565D"/>
    <w:rsid w:val="008337D3"/>
    <w:rsid w:val="008374B0"/>
    <w:rsid w:val="00861CF6"/>
    <w:rsid w:val="00864F5A"/>
    <w:rsid w:val="0087020D"/>
    <w:rsid w:val="00892DFD"/>
    <w:rsid w:val="008E20EC"/>
    <w:rsid w:val="008F18E2"/>
    <w:rsid w:val="008F23F1"/>
    <w:rsid w:val="00903B18"/>
    <w:rsid w:val="00921474"/>
    <w:rsid w:val="00923FAC"/>
    <w:rsid w:val="00925760"/>
    <w:rsid w:val="00977411"/>
    <w:rsid w:val="009A3949"/>
    <w:rsid w:val="009B53EA"/>
    <w:rsid w:val="009D492D"/>
    <w:rsid w:val="009E77B9"/>
    <w:rsid w:val="009F3C49"/>
    <w:rsid w:val="00A14517"/>
    <w:rsid w:val="00A2794E"/>
    <w:rsid w:val="00A557DB"/>
    <w:rsid w:val="00A71DF9"/>
    <w:rsid w:val="00A94EBF"/>
    <w:rsid w:val="00AC62CD"/>
    <w:rsid w:val="00AE05DE"/>
    <w:rsid w:val="00B165BD"/>
    <w:rsid w:val="00B42063"/>
    <w:rsid w:val="00B42FFA"/>
    <w:rsid w:val="00B63ABD"/>
    <w:rsid w:val="00B67AF9"/>
    <w:rsid w:val="00B829DB"/>
    <w:rsid w:val="00BE7B07"/>
    <w:rsid w:val="00C14E05"/>
    <w:rsid w:val="00C40854"/>
    <w:rsid w:val="00C906B1"/>
    <w:rsid w:val="00C90C58"/>
    <w:rsid w:val="00C96903"/>
    <w:rsid w:val="00CA423B"/>
    <w:rsid w:val="00CA4AA5"/>
    <w:rsid w:val="00CE05CF"/>
    <w:rsid w:val="00CF3240"/>
    <w:rsid w:val="00D2193E"/>
    <w:rsid w:val="00D23451"/>
    <w:rsid w:val="00D24745"/>
    <w:rsid w:val="00D33913"/>
    <w:rsid w:val="00D439CA"/>
    <w:rsid w:val="00D5260E"/>
    <w:rsid w:val="00D52912"/>
    <w:rsid w:val="00D67FDE"/>
    <w:rsid w:val="00D8439A"/>
    <w:rsid w:val="00DA7FE6"/>
    <w:rsid w:val="00DB4F13"/>
    <w:rsid w:val="00DC14FE"/>
    <w:rsid w:val="00DF3764"/>
    <w:rsid w:val="00DF59C2"/>
    <w:rsid w:val="00E029CB"/>
    <w:rsid w:val="00E33245"/>
    <w:rsid w:val="00E42187"/>
    <w:rsid w:val="00E440D8"/>
    <w:rsid w:val="00E520C2"/>
    <w:rsid w:val="00E62260"/>
    <w:rsid w:val="00EC6E89"/>
    <w:rsid w:val="00ED23E6"/>
    <w:rsid w:val="00EF4912"/>
    <w:rsid w:val="00F25653"/>
    <w:rsid w:val="00F31B9D"/>
    <w:rsid w:val="00F878DE"/>
    <w:rsid w:val="00FA4EFF"/>
    <w:rsid w:val="00FB1845"/>
    <w:rsid w:val="00FB68BE"/>
    <w:rsid w:val="00FC7B9B"/>
    <w:rsid w:val="00FF6F8E"/>
    <w:rsid w:val="048F07AC"/>
    <w:rsid w:val="15335319"/>
    <w:rsid w:val="1AC66FF0"/>
    <w:rsid w:val="3D7535CC"/>
    <w:rsid w:val="3FE73E80"/>
    <w:rsid w:val="4CC872D0"/>
    <w:rsid w:val="517946C6"/>
    <w:rsid w:val="53885AE3"/>
    <w:rsid w:val="59E07303"/>
    <w:rsid w:val="792C4DEC"/>
    <w:rsid w:val="7B783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F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7AF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67A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67AF9"/>
    <w:rPr>
      <w:rFonts w:ascii="Times New Roman" w:eastAsia="宋体" w:hAnsi="Times New Roman" w:cs="Times New Roman"/>
      <w:sz w:val="18"/>
      <w:szCs w:val="18"/>
    </w:rPr>
  </w:style>
  <w:style w:type="character" w:customStyle="1" w:styleId="Char">
    <w:name w:val="页脚 Char"/>
    <w:basedOn w:val="a0"/>
    <w:link w:val="a3"/>
    <w:uiPriority w:val="99"/>
    <w:rsid w:val="00B67AF9"/>
    <w:rPr>
      <w:rFonts w:ascii="Times New Roman" w:eastAsia="宋体" w:hAnsi="Times New Roman" w:cs="Times New Roman"/>
      <w:sz w:val="18"/>
      <w:szCs w:val="18"/>
    </w:rPr>
  </w:style>
  <w:style w:type="paragraph" w:styleId="a5">
    <w:name w:val="List Paragraph"/>
    <w:basedOn w:val="a"/>
    <w:uiPriority w:val="34"/>
    <w:qFormat/>
    <w:rsid w:val="00B67AF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28</cp:revision>
  <dcterms:created xsi:type="dcterms:W3CDTF">2021-06-18T03:31:00Z</dcterms:created>
  <dcterms:modified xsi:type="dcterms:W3CDTF">2021-06-21T02:12:00Z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