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1"/>
        <w:jc w:val="center"/>
        <w:rPr>
          <w:rFonts w:ascii="仿宋" w:hAnsi="仿宋" w:eastAsia="仿宋"/>
          <w:b/>
          <w:sz w:val="44"/>
          <w:szCs w:val="44"/>
        </w:rPr>
      </w:pPr>
      <w:bookmarkStart w:id="1" w:name="_GoBack"/>
      <w:bookmarkEnd w:id="1"/>
    </w:p>
    <w:p>
      <w:pPr>
        <w:ind w:firstLine="601"/>
        <w:jc w:val="center"/>
        <w:rPr>
          <w:rFonts w:ascii="仿宋" w:hAnsi="仿宋" w:eastAsia="仿宋"/>
          <w:b/>
          <w:sz w:val="44"/>
          <w:szCs w:val="44"/>
        </w:rPr>
      </w:pPr>
    </w:p>
    <w:p>
      <w:pPr>
        <w:ind w:firstLine="601"/>
        <w:jc w:val="center"/>
        <w:rPr>
          <w:rFonts w:ascii="仿宋" w:hAnsi="仿宋" w:eastAsia="仿宋"/>
          <w:b/>
          <w:sz w:val="44"/>
          <w:szCs w:val="44"/>
        </w:rPr>
      </w:pPr>
    </w:p>
    <w:p>
      <w:pPr>
        <w:ind w:firstLine="601"/>
        <w:jc w:val="center"/>
        <w:rPr>
          <w:rFonts w:ascii="仿宋" w:hAnsi="仿宋" w:eastAsia="仿宋"/>
          <w:b/>
          <w:sz w:val="44"/>
          <w:szCs w:val="44"/>
        </w:rPr>
      </w:pPr>
      <w:r>
        <w:rPr>
          <w:rFonts w:hint="eastAsia" w:ascii="仿宋" w:hAnsi="仿宋" w:eastAsia="仿宋"/>
          <w:b/>
          <w:sz w:val="44"/>
          <w:szCs w:val="44"/>
        </w:rPr>
        <w:t>乌兰夫纪念馆</w:t>
      </w:r>
    </w:p>
    <w:p>
      <w:pPr>
        <w:ind w:firstLine="601"/>
        <w:jc w:val="center"/>
        <w:rPr>
          <w:rFonts w:ascii="仿宋" w:hAnsi="仿宋" w:eastAsia="仿宋"/>
          <w:b/>
          <w:sz w:val="44"/>
          <w:szCs w:val="44"/>
        </w:rPr>
      </w:pPr>
      <w:r>
        <w:rPr>
          <w:rFonts w:hint="eastAsia" w:ascii="仿宋" w:hAnsi="仿宋" w:eastAsia="仿宋"/>
          <w:b/>
          <w:sz w:val="44"/>
          <w:szCs w:val="44"/>
        </w:rPr>
        <w:t>2020年度预算公开报告</w:t>
      </w:r>
    </w:p>
    <w:p>
      <w:pPr>
        <w:spacing w:line="580" w:lineRule="exact"/>
        <w:ind w:firstLine="600"/>
        <w:jc w:val="center"/>
        <w:rPr>
          <w:rFonts w:ascii="仿宋" w:hAnsi="仿宋" w:eastAsia="仿宋"/>
          <w:b/>
          <w:sz w:val="32"/>
          <w:szCs w:val="32"/>
        </w:rPr>
      </w:pPr>
    </w:p>
    <w:p>
      <w:pPr>
        <w:spacing w:line="580" w:lineRule="exact"/>
        <w:ind w:firstLine="600"/>
        <w:jc w:val="center"/>
        <w:rPr>
          <w:rFonts w:ascii="仿宋" w:hAnsi="仿宋" w:eastAsia="仿宋"/>
          <w:b/>
          <w:sz w:val="32"/>
          <w:szCs w:val="32"/>
        </w:rPr>
      </w:pPr>
    </w:p>
    <w:p>
      <w:pPr>
        <w:spacing w:line="580" w:lineRule="exact"/>
        <w:ind w:firstLine="600"/>
        <w:jc w:val="center"/>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ind w:firstLine="3036" w:firstLineChars="945"/>
        <w:rPr>
          <w:rFonts w:ascii="仿宋" w:hAnsi="仿宋" w:eastAsia="仿宋"/>
          <w:b/>
          <w:sz w:val="32"/>
          <w:szCs w:val="32"/>
        </w:rPr>
      </w:pPr>
      <w:r>
        <w:rPr>
          <w:rFonts w:hint="eastAsia" w:ascii="仿宋" w:hAnsi="仿宋" w:eastAsia="仿宋"/>
          <w:b/>
          <w:sz w:val="32"/>
          <w:szCs w:val="32"/>
        </w:rPr>
        <w:t>2020年5月14日</w:t>
      </w: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spacing w:line="580" w:lineRule="exact"/>
        <w:rPr>
          <w:rFonts w:ascii="仿宋" w:hAnsi="仿宋" w:eastAsia="仿宋"/>
          <w:b/>
          <w:sz w:val="32"/>
          <w:szCs w:val="32"/>
        </w:rPr>
      </w:pPr>
    </w:p>
    <w:p>
      <w:pPr>
        <w:rPr>
          <w:rFonts w:ascii="仿宋" w:hAnsi="仿宋" w:eastAsia="仿宋"/>
          <w:b/>
          <w:sz w:val="44"/>
          <w:szCs w:val="44"/>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第一部分  部门概况</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一、部门主要职能、职责</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二、机构设置及预算单位构成情况</w:t>
      </w:r>
    </w:p>
    <w:p>
      <w:pPr>
        <w:adjustRightInd w:val="0"/>
        <w:snapToGrid w:val="0"/>
        <w:spacing w:line="56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第二部分  2020年部门预算安排情况说明</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一、部门预算收支总体情况说明</w:t>
      </w:r>
    </w:p>
    <w:p>
      <w:pPr>
        <w:adjustRightInd w:val="0"/>
        <w:snapToGrid w:val="0"/>
        <w:spacing w:line="560" w:lineRule="exact"/>
        <w:ind w:firstLine="560" w:firstLineChars="200"/>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二、一般公共预算财政拨款收支情况说明</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三、政府性基金预算财政拨款支出情况说明</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四、财政拨款“三公”经费预算情况说明</w:t>
      </w:r>
    </w:p>
    <w:p>
      <w:pPr>
        <w:adjustRightInd w:val="0"/>
        <w:snapToGrid w:val="0"/>
        <w:spacing w:line="56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第三部分  其他公开事项说明</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一、机关运行经费安排情况说明</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二、政府采购预算情况说明</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三、国有资产占有使用情况说明</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四、</w:t>
      </w:r>
      <w:r>
        <w:rPr>
          <w:rFonts w:hint="eastAsia" w:ascii="仿宋" w:hAnsi="仿宋" w:eastAsia="仿宋" w:cs="仿宋"/>
          <w:sz w:val="28"/>
          <w:szCs w:val="28"/>
        </w:rPr>
        <w:t>项目支出绩效目标情况说明</w:t>
      </w:r>
    </w:p>
    <w:p>
      <w:pPr>
        <w:adjustRightInd w:val="0"/>
        <w:snapToGrid w:val="0"/>
        <w:spacing w:line="56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第四部分  名词解释</w:t>
      </w:r>
    </w:p>
    <w:p>
      <w:pPr>
        <w:adjustRightInd w:val="0"/>
        <w:snapToGrid w:val="0"/>
        <w:spacing w:line="56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第五部分  预算公开联系方式及信息反馈渠道</w:t>
      </w:r>
    </w:p>
    <w:p>
      <w:pPr>
        <w:adjustRightInd w:val="0"/>
        <w:snapToGrid w:val="0"/>
        <w:spacing w:line="56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第六部分  2020年部门预算公开表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一、财政拨款收支预算总表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二、一般公共预算财政拨款支出预算表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三、一般公共预算财政拨款基本支出预算表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四、部门收支预算总表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五、部门收入预算总表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六、部门支出预算总表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七、政府性基金预算财政拨款支出预算表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八、财政拨款“三公”经费支出预算表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九、项目支出绩效目标申报表</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ind w:firstLine="600"/>
        <w:rPr>
          <w:rFonts w:hint="eastAsia" w:ascii="仿宋" w:hAnsi="仿宋" w:eastAsia="仿宋" w:cs="仿宋"/>
          <w:b/>
          <w:sz w:val="28"/>
          <w:szCs w:val="28"/>
        </w:rPr>
      </w:pPr>
    </w:p>
    <w:p>
      <w:pPr>
        <w:spacing w:line="580" w:lineRule="exact"/>
        <w:rPr>
          <w:rFonts w:hint="eastAsia" w:ascii="仿宋" w:hAnsi="仿宋" w:eastAsia="仿宋" w:cs="仿宋"/>
          <w:b/>
          <w:sz w:val="28"/>
          <w:szCs w:val="28"/>
        </w:rPr>
      </w:pPr>
    </w:p>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第一部分  部门概况</w:t>
      </w:r>
    </w:p>
    <w:p>
      <w:pPr>
        <w:spacing w:line="560" w:lineRule="exact"/>
        <w:jc w:val="center"/>
        <w:rPr>
          <w:rFonts w:hint="eastAsia" w:ascii="仿宋" w:hAnsi="仿宋" w:eastAsia="仿宋" w:cs="仿宋"/>
          <w:sz w:val="28"/>
          <w:szCs w:val="28"/>
        </w:rPr>
      </w:pPr>
    </w:p>
    <w:p>
      <w:pPr>
        <w:snapToGrid w:val="0"/>
        <w:spacing w:line="560" w:lineRule="exact"/>
        <w:ind w:firstLine="64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一、主要职能</w:t>
      </w:r>
    </w:p>
    <w:p>
      <w:pPr>
        <w:snapToGrid w:val="0"/>
        <w:spacing w:line="560" w:lineRule="exact"/>
        <w:ind w:firstLine="640"/>
        <w:rPr>
          <w:rFonts w:hint="eastAsia" w:ascii="仿宋" w:hAnsi="仿宋" w:eastAsia="仿宋" w:cs="仿宋"/>
          <w:sz w:val="28"/>
          <w:szCs w:val="28"/>
        </w:rPr>
      </w:pPr>
      <w:r>
        <w:rPr>
          <w:rFonts w:hint="eastAsia" w:ascii="仿宋" w:hAnsi="仿宋" w:eastAsia="仿宋" w:cs="仿宋"/>
          <w:sz w:val="28"/>
          <w:szCs w:val="28"/>
        </w:rPr>
        <w:t>（一）部门职能</w:t>
      </w:r>
    </w:p>
    <w:p>
      <w:pPr>
        <w:snapToGrid w:val="0"/>
        <w:spacing w:line="560" w:lineRule="exact"/>
        <w:ind w:left="319" w:leftChars="152" w:firstLine="560" w:firstLineChars="200"/>
        <w:rPr>
          <w:rFonts w:hint="eastAsia" w:ascii="仿宋" w:hAnsi="仿宋" w:eastAsia="仿宋" w:cs="仿宋"/>
          <w:color w:val="000000"/>
          <w:kern w:val="0"/>
          <w:sz w:val="28"/>
          <w:szCs w:val="28"/>
        </w:rPr>
      </w:pPr>
      <w:r>
        <w:rPr>
          <w:rFonts w:hint="eastAsia" w:ascii="仿宋" w:hAnsi="仿宋" w:eastAsia="仿宋" w:cs="仿宋"/>
          <w:color w:val="000000" w:themeColor="text1"/>
          <w:sz w:val="28"/>
          <w:szCs w:val="28"/>
          <w14:textFill>
            <w14:solidFill>
              <w14:schemeClr w14:val="tx1"/>
            </w14:solidFill>
          </w14:textFill>
        </w:rPr>
        <w:t>乌兰夫纪念馆是呼和浩特市市委宣传部代管的</w:t>
      </w:r>
      <w:r>
        <w:rPr>
          <w:rFonts w:hint="eastAsia" w:ascii="仿宋" w:hAnsi="仿宋" w:eastAsia="仿宋" w:cs="仿宋"/>
          <w:color w:val="000000"/>
          <w:kern w:val="0"/>
          <w:sz w:val="28"/>
          <w:szCs w:val="28"/>
        </w:rPr>
        <w:t>参照公务员法管理的事业单位。</w:t>
      </w:r>
    </w:p>
    <w:p>
      <w:pPr>
        <w:snapToGrid w:val="0"/>
        <w:spacing w:line="560" w:lineRule="exact"/>
        <w:ind w:left="319" w:leftChars="152" w:firstLine="280" w:firstLineChars="100"/>
        <w:rPr>
          <w:rFonts w:hint="eastAsia" w:ascii="仿宋" w:hAnsi="仿宋" w:eastAsia="仿宋" w:cs="仿宋"/>
          <w:sz w:val="28"/>
          <w:szCs w:val="28"/>
        </w:rPr>
      </w:pPr>
      <w:r>
        <w:rPr>
          <w:rFonts w:hint="eastAsia" w:ascii="仿宋" w:hAnsi="仿宋" w:eastAsia="仿宋" w:cs="仿宋"/>
          <w:sz w:val="28"/>
          <w:szCs w:val="28"/>
        </w:rPr>
        <w:t>（二）部门主要职责</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（1）落实中央颁布的爱国主义教育实施纲要的宣传教育工作；</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（2）收集、整理、研究有关乌兰夫的文物、史料，充实展览内容及做好文物史料的保护工作；</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（3）做好乌兰夫故居的管理工作,负责上级交办的其他工作。</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发挥全国爱国主义教育示范基地的作用，宣传乌兰夫的革命思想和伟大史绩，积极开展社会教育工作。</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承接乌兰夫文化建设和历史文化保护的相关工作</w:t>
      </w:r>
    </w:p>
    <w:p>
      <w:pPr>
        <w:snapToGrid w:val="0"/>
        <w:spacing w:line="560" w:lineRule="exact"/>
        <w:ind w:firstLine="640"/>
        <w:rPr>
          <w:rFonts w:hint="eastAsia" w:ascii="仿宋" w:hAnsi="仿宋" w:eastAsia="仿宋" w:cs="仿宋"/>
          <w:b/>
          <w:bCs/>
          <w:sz w:val="28"/>
          <w:szCs w:val="28"/>
        </w:rPr>
      </w:pPr>
      <w:r>
        <w:rPr>
          <w:rFonts w:hint="eastAsia" w:ascii="仿宋" w:hAnsi="仿宋" w:eastAsia="仿宋" w:cs="仿宋"/>
          <w:b/>
          <w:bCs/>
          <w:color w:val="000000"/>
          <w:sz w:val="28"/>
          <w:szCs w:val="28"/>
        </w:rPr>
        <w:t>二、机构设置及预算单位构成情况</w:t>
      </w:r>
    </w:p>
    <w:p>
      <w:pPr>
        <w:snapToGrid w:val="0"/>
        <w:spacing w:line="560" w:lineRule="exact"/>
        <w:ind w:firstLine="64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从预算单位构成看，乌兰夫纪念馆部门预算包括：本级预算和二级事业单位预算。</w:t>
      </w:r>
    </w:p>
    <w:p>
      <w:pPr>
        <w:snapToGrid w:val="0"/>
        <w:spacing w:line="560" w:lineRule="exact"/>
        <w:ind w:firstLine="640"/>
        <w:rPr>
          <w:rFonts w:hint="eastAsia" w:ascii="仿宋" w:hAnsi="仿宋" w:eastAsia="仿宋" w:cs="仿宋"/>
          <w:sz w:val="28"/>
          <w:szCs w:val="28"/>
        </w:rPr>
      </w:pPr>
      <w:r>
        <w:rPr>
          <w:rFonts w:hint="eastAsia" w:ascii="仿宋" w:hAnsi="仿宋" w:eastAsia="仿宋" w:cs="仿宋"/>
          <w:sz w:val="28"/>
          <w:szCs w:val="28"/>
        </w:rPr>
        <w:t>（一）乌兰夫纪念馆部门机构及人员基本情况</w:t>
      </w:r>
    </w:p>
    <w:p>
      <w:pPr>
        <w:snapToGrid w:val="0"/>
        <w:spacing w:line="560" w:lineRule="exact"/>
        <w:ind w:firstLine="640"/>
        <w:rPr>
          <w:rFonts w:hint="eastAsia" w:ascii="仿宋" w:hAnsi="仿宋" w:eastAsia="仿宋" w:cs="仿宋"/>
          <w:sz w:val="28"/>
          <w:szCs w:val="28"/>
        </w:rPr>
      </w:pPr>
      <w:r>
        <w:rPr>
          <w:rFonts w:hint="eastAsia" w:ascii="仿宋" w:hAnsi="仿宋" w:eastAsia="仿宋" w:cs="仿宋"/>
          <w:sz w:val="28"/>
          <w:szCs w:val="28"/>
        </w:rPr>
        <w:t>本级及下设独立预算单位共有2家，其中：参照公务员法管理的事业单位、公益一类事业单位为1家，公益一类事业单位为1家。</w:t>
      </w:r>
    </w:p>
    <w:p>
      <w:pPr>
        <w:spacing w:line="580" w:lineRule="exact"/>
        <w:ind w:firstLine="600"/>
        <w:rPr>
          <w:rFonts w:hint="eastAsia" w:ascii="仿宋" w:hAnsi="仿宋" w:eastAsia="仿宋" w:cs="仿宋"/>
          <w:sz w:val="28"/>
          <w:szCs w:val="28"/>
        </w:rPr>
      </w:pPr>
      <w:r>
        <w:rPr>
          <w:rFonts w:hint="eastAsia" w:ascii="仿宋" w:hAnsi="仿宋" w:eastAsia="仿宋" w:cs="仿宋"/>
          <w:sz w:val="28"/>
          <w:szCs w:val="28"/>
        </w:rPr>
        <w:t>乌兰夫纪念馆系呼和浩特市委直属事业单位（参公），呼和浩特市市委宣传部代管。根据工作职责，全馆设9个职能科（室），所属二级事业单位1个。</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乌兰夫纪念馆核定编制数40人，其中参照公务员法管理事业单位编制36人，事业编制4人。现有干部职工40人，其中乌兰夫纪念馆36人，二级事业单位4人；退休人员16人。</w:t>
      </w: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（二）乌兰夫纪念馆市本级单位设置及人员情况</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纳入2020年部门预算编制范围的二级预算单位情况：</w:t>
      </w:r>
    </w:p>
    <w:p>
      <w:pPr>
        <w:snapToGrid w:val="0"/>
        <w:spacing w:line="560" w:lineRule="exac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单位情况表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bl>
      <w:tblPr>
        <w:tblStyle w:val="4"/>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b/>
                <w:bCs/>
                <w:color w:val="000000"/>
                <w:kern w:val="0"/>
                <w:sz w:val="28"/>
                <w:szCs w:val="28"/>
              </w:rPr>
            </w:pPr>
            <w:r>
              <w:rPr>
                <w:rFonts w:hint="eastAsia" w:ascii="仿宋" w:hAnsi="仿宋" w:eastAsia="仿宋" w:cs="仿宋"/>
                <w:sz w:val="28"/>
                <w:szCs w:val="28"/>
              </w:rPr>
              <w:t>乌兰夫纪念馆市本级</w:t>
            </w: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参照公务员法管理的事业单位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乌兰夫研究中心</w:t>
            </w: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8"/>
                <w:szCs w:val="28"/>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8"/>
                <w:szCs w:val="28"/>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8"/>
                <w:szCs w:val="28"/>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8"/>
                <w:szCs w:val="28"/>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r>
    </w:tbl>
    <w:p>
      <w:pPr>
        <w:spacing w:line="580" w:lineRule="exact"/>
        <w:ind w:firstLine="560" w:firstLineChars="200"/>
        <w:rPr>
          <w:rFonts w:hint="eastAsia" w:ascii="仿宋" w:hAnsi="仿宋" w:eastAsia="仿宋" w:cs="仿宋"/>
          <w:sz w:val="28"/>
          <w:szCs w:val="28"/>
        </w:rPr>
      </w:pPr>
    </w:p>
    <w:p>
      <w:pPr>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第二部分   2020年部门预算安排情况说明</w:t>
      </w:r>
    </w:p>
    <w:p>
      <w:pPr>
        <w:spacing w:line="560" w:lineRule="exact"/>
        <w:jc w:val="center"/>
        <w:rPr>
          <w:rFonts w:hint="eastAsia" w:ascii="黑体" w:hAnsi="黑体" w:eastAsia="黑体" w:cs="黑体"/>
          <w:sz w:val="28"/>
          <w:szCs w:val="28"/>
        </w:rPr>
      </w:pPr>
    </w:p>
    <w:p>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color w:val="000000"/>
          <w:sz w:val="28"/>
          <w:szCs w:val="28"/>
        </w:rPr>
        <w:t>一、部门预算收支总体情况说明</w:t>
      </w:r>
    </w:p>
    <w:p>
      <w:pPr>
        <w:spacing w:line="58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2020年一般公共预算收入安排1555.64万元，2019年一般公共预算收入安排2599.66万元，比2019年预算减少1044.02万无，下降 40.16%，减少主要原因是在职人员经费减少、提升4A级景区项目经费未列入2020年预算并压缩项目经费20%。</w:t>
      </w:r>
    </w:p>
    <w:p>
      <w:pPr>
        <w:spacing w:line="58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2020年一般公共预算支出安排1555.64万元，2019年一般公共预算收入安排2599.66万元，比2019年预算减少1044.02万无，下降 40.16%，减少主要原因是在职人员经费减少、提升4A级景区项目经费未列入2020年预算并压缩项目经费20%。</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（一）部门预算收入情况说明</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部门预算收入2475.59万元，其中：一般公共预算拨款收入1555.64万元，占比100 %；政府性基金预算拨款收入   0万元，占比0 %；事业收入0万元，占比0%；事业单位经营收0万元，占比0%；，其他收0万元，占0%；上年结转 919.95 万元，占比37.16 %，用事业基金弥补的收支差额0万元，占比0 %。</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（二）部门预算支出情况说明</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部门预算支出1555.64万元，其中：基本支出536.96万元，占比34.52 %；项目支出1018.68万元，占比65.48 %；事业单位经营支出 0万元，占比 0 %。</w:t>
      </w:r>
    </w:p>
    <w:p>
      <w:pPr>
        <w:adjustRightInd w:val="0"/>
        <w:snapToGrid w:val="0"/>
        <w:spacing w:line="560" w:lineRule="exact"/>
        <w:ind w:firstLine="640"/>
        <w:rPr>
          <w:rFonts w:hint="eastAsia" w:ascii="仿宋" w:hAnsi="仿宋" w:eastAsia="仿宋" w:cs="仿宋"/>
          <w:sz w:val="28"/>
          <w:szCs w:val="28"/>
        </w:rPr>
      </w:pPr>
      <w:r>
        <w:rPr>
          <w:rFonts w:hint="eastAsia" w:ascii="仿宋" w:hAnsi="仿宋" w:eastAsia="仿宋" w:cs="仿宋"/>
          <w:sz w:val="28"/>
          <w:szCs w:val="28"/>
        </w:rPr>
        <w:t>主要用于“在职人员经费、机构运转工作经费、乌兰夫公园物业保洁费、乌兰夫公园园林绿化维护管理费、临时讲解员工资等”方面支出。</w:t>
      </w:r>
    </w:p>
    <w:p>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color w:val="000000"/>
          <w:sz w:val="28"/>
          <w:szCs w:val="28"/>
        </w:rPr>
        <w:t>二、一般公共预算财政拨款收支情况说明</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（一）财政拨款规模情况</w:t>
      </w:r>
    </w:p>
    <w:p>
      <w:pPr>
        <w:spacing w:line="56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财政拨款收支预算2475.59万元，包括：一般公共预算财政拨款1555.64万元，政府性基金预算财政拨款0万元，</w:t>
      </w:r>
      <w:r>
        <w:rPr>
          <w:rFonts w:hint="eastAsia" w:ascii="仿宋" w:hAnsi="仿宋" w:eastAsia="仿宋" w:cs="仿宋"/>
          <w:color w:val="000000" w:themeColor="text1"/>
          <w:sz w:val="28"/>
          <w:szCs w:val="28"/>
          <w14:textFill>
            <w14:solidFill>
              <w14:schemeClr w14:val="tx1"/>
            </w14:solidFill>
          </w14:textFill>
        </w:rPr>
        <w:t>上年结转 919.95 万元。</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（二）一般公共预算财政拨款具体使用安排情况</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文化旅游体育与传媒类1417.95 万元，比上年预算数减少1034.68万元。主要用于支付在职人员工资、机构运转工作经费、乌兰夫公园物业保洁费、乌兰夫公园园林绿化维护管理费、临时讲解员工资等。</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2、社会保障和就业类76.85万元，比上年预算数减少10.24万元。主要用于支付退休人员工资、机关事业单位基本养老保险、职业年金缴费。</w:t>
      </w:r>
    </w:p>
    <w:p>
      <w:pPr>
        <w:adjustRightInd w:val="0"/>
        <w:snapToGrid w:val="0"/>
        <w:spacing w:line="56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 xml:space="preserve">3、卫生健康类26.27万元，比上年预算数增加0.28万元。主要用于支付在职人员的医疗、生育、失业、工伤、公务员医疗补助缴费。    </w:t>
      </w:r>
    </w:p>
    <w:p>
      <w:pPr>
        <w:adjustRightInd w:val="0"/>
        <w:snapToGrid w:val="0"/>
        <w:spacing w:line="560" w:lineRule="exact"/>
        <w:ind w:firstLine="640"/>
        <w:rPr>
          <w:rFonts w:hint="eastAsia" w:ascii="仿宋" w:hAnsi="仿宋" w:eastAsia="仿宋" w:cs="仿宋"/>
          <w:color w:val="000000"/>
          <w:sz w:val="28"/>
          <w:szCs w:val="28"/>
        </w:rPr>
      </w:pPr>
      <w:r>
        <w:rPr>
          <w:rFonts w:hint="eastAsia" w:ascii="仿宋" w:hAnsi="仿宋" w:eastAsia="仿宋" w:cs="仿宋"/>
          <w:color w:val="000000"/>
          <w:sz w:val="28"/>
          <w:szCs w:val="28"/>
        </w:rPr>
        <w:t>4、住房保障类34.57万元，</w:t>
      </w:r>
      <w:r>
        <w:rPr>
          <w:rFonts w:hint="eastAsia" w:ascii="仿宋" w:hAnsi="仿宋" w:eastAsia="仿宋" w:cs="仿宋"/>
          <w:sz w:val="28"/>
          <w:szCs w:val="28"/>
        </w:rPr>
        <w:t>比上年预算数增加0.62万元。主要用于支付在职人员的住房公积金缴费。</w:t>
      </w:r>
    </w:p>
    <w:p>
      <w:pPr>
        <w:adjustRightInd w:val="0"/>
        <w:snapToGrid w:val="0"/>
        <w:spacing w:line="5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三、政府性基金预算财政拨款支出情况说明</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政府性基金预算财政拨款0万元，比上年预算数增加0万元，增长 0 %。</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我单位无政府性基金财政拨款预算</w:t>
      </w:r>
    </w:p>
    <w:p>
      <w:pPr>
        <w:adjustRightInd w:val="0"/>
        <w:snapToGrid w:val="0"/>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color w:val="000000"/>
          <w:sz w:val="28"/>
          <w:szCs w:val="28"/>
        </w:rPr>
        <w:t>四、财政拨款“三公”经费预算情况说明</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财政拨款“三公”经费支出预算 0.35万元，比上年预算减少4.23万元，下降1208.57 %；本年预算比上年执行数减少4.23 万元，下降1208.57 %。其中：</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1、因公出国（境）费用 0 万元，比上年预算数增加（减少）0 万元，增长（下降）0 %，本年预算比上年执行数增加（减少）0万元，增长（下降）0  %。增加（减少）主要是由于我单位无因公出国（境）费用。</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2、公务接待费0.35万元，比上年预算数减少0.15 万元，下降42.86 %，本年预算比上年执行数减少0.15万元，下降42.86 %。</w:t>
      </w:r>
    </w:p>
    <w:p>
      <w:pPr>
        <w:adjustRightInd w:val="0"/>
        <w:snapToGrid w:val="0"/>
        <w:spacing w:line="560" w:lineRule="exact"/>
        <w:ind w:left="160" w:leftChars="76" w:firstLine="420" w:firstLineChars="150"/>
        <w:rPr>
          <w:rFonts w:hint="eastAsia" w:ascii="仿宋" w:hAnsi="仿宋" w:eastAsia="仿宋" w:cs="仿宋"/>
          <w:sz w:val="28"/>
          <w:szCs w:val="28"/>
        </w:rPr>
      </w:pPr>
      <w:r>
        <w:rPr>
          <w:rFonts w:hint="eastAsia" w:ascii="仿宋" w:hAnsi="仿宋" w:eastAsia="仿宋" w:cs="仿宋"/>
          <w:sz w:val="28"/>
          <w:szCs w:val="28"/>
        </w:rPr>
        <w:t>3、公务用车购置及运行维护费0万元，比上年预算减少4.08万元，下降100 %，本年预算比上年执行数减少4.08万元，下降100%。其中，公务用车购置0万元，比上年预算减少0万元，增长（下降）0%，本年预算比上年执行数增加（减少）0万元，增长（下降）0%；公务用车运行维护费0万元，本年预算比上年预算减少4.08万元，下降100%，比上年执行数减少4.08万元，下降100%。减少主要是由于公务用车统一移交呼和浩特市公务用车管理工作领导小组办公室管理。</w:t>
      </w:r>
    </w:p>
    <w:p>
      <w:pPr>
        <w:adjustRightInd w:val="0"/>
        <w:snapToGrid w:val="0"/>
        <w:spacing w:line="560" w:lineRule="exact"/>
        <w:ind w:left="160" w:leftChars="76" w:firstLine="420" w:firstLineChars="150"/>
        <w:rPr>
          <w:rFonts w:hint="eastAsia" w:ascii="仿宋" w:hAnsi="仿宋" w:eastAsia="仿宋" w:cs="仿宋"/>
          <w:sz w:val="28"/>
          <w:szCs w:val="28"/>
        </w:rPr>
      </w:pPr>
    </w:p>
    <w:p>
      <w:pPr>
        <w:adjustRightInd w:val="0"/>
        <w:snapToGrid w:val="0"/>
        <w:spacing w:line="560" w:lineRule="exact"/>
        <w:jc w:val="center"/>
        <w:rPr>
          <w:rFonts w:hint="eastAsia" w:ascii="黑体" w:hAnsi="黑体" w:eastAsia="黑体" w:cs="黑体"/>
          <w:b/>
          <w:color w:val="000000"/>
          <w:sz w:val="28"/>
          <w:szCs w:val="28"/>
        </w:rPr>
      </w:pPr>
      <w:r>
        <w:rPr>
          <w:rFonts w:hint="eastAsia" w:ascii="黑体" w:hAnsi="黑体" w:eastAsia="黑体" w:cs="黑体"/>
          <w:b/>
          <w:color w:val="000000"/>
          <w:sz w:val="28"/>
          <w:szCs w:val="28"/>
        </w:rPr>
        <w:t>第三部分  其他公开事项说明</w:t>
      </w:r>
    </w:p>
    <w:p>
      <w:pPr>
        <w:adjustRightInd w:val="0"/>
        <w:snapToGrid w:val="0"/>
        <w:spacing w:line="560" w:lineRule="exact"/>
        <w:ind w:firstLine="560" w:firstLineChars="200"/>
        <w:rPr>
          <w:rFonts w:hint="eastAsia" w:ascii="仿宋" w:hAnsi="仿宋" w:eastAsia="仿宋" w:cs="仿宋"/>
          <w:color w:val="000000"/>
          <w:sz w:val="28"/>
          <w:szCs w:val="28"/>
        </w:rPr>
      </w:pPr>
    </w:p>
    <w:p>
      <w:pPr>
        <w:adjustRightInd w:val="0"/>
        <w:snapToGrid w:val="0"/>
        <w:spacing w:line="5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一、机关运行经费安排情况说明</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2020年，我单位机关运行</w:t>
      </w:r>
      <w:r>
        <w:rPr>
          <w:rFonts w:hint="eastAsia" w:ascii="仿宋" w:hAnsi="仿宋" w:eastAsia="仿宋" w:cs="仿宋"/>
          <w:color w:val="000000"/>
          <w:sz w:val="28"/>
          <w:szCs w:val="28"/>
        </w:rPr>
        <w:t>经费财政拨款</w:t>
      </w:r>
      <w:r>
        <w:rPr>
          <w:rFonts w:hint="eastAsia" w:ascii="仿宋" w:hAnsi="仿宋" w:eastAsia="仿宋" w:cs="仿宋"/>
          <w:sz w:val="28"/>
          <w:szCs w:val="28"/>
        </w:rPr>
        <w:t>预算12.16</w:t>
      </w:r>
      <w:r>
        <w:rPr>
          <w:rFonts w:hint="eastAsia" w:ascii="仿宋" w:hAnsi="仿宋" w:eastAsia="仿宋" w:cs="仿宋"/>
          <w:color w:val="000000"/>
          <w:sz w:val="28"/>
          <w:szCs w:val="28"/>
        </w:rPr>
        <w:t>万元，比上年</w:t>
      </w:r>
      <w:r>
        <w:rPr>
          <w:rFonts w:hint="eastAsia" w:ascii="仿宋" w:hAnsi="仿宋" w:eastAsia="仿宋" w:cs="仿宋"/>
          <w:sz w:val="28"/>
          <w:szCs w:val="28"/>
        </w:rPr>
        <w:t>减少3.42</w:t>
      </w:r>
      <w:r>
        <w:rPr>
          <w:rFonts w:hint="eastAsia" w:ascii="仿宋" w:hAnsi="仿宋" w:eastAsia="仿宋" w:cs="仿宋"/>
          <w:color w:val="000000"/>
          <w:sz w:val="28"/>
          <w:szCs w:val="28"/>
        </w:rPr>
        <w:t>万元，</w:t>
      </w:r>
      <w:r>
        <w:rPr>
          <w:rFonts w:hint="eastAsia" w:ascii="仿宋" w:hAnsi="仿宋" w:eastAsia="仿宋" w:cs="仿宋"/>
          <w:sz w:val="28"/>
          <w:szCs w:val="28"/>
        </w:rPr>
        <w:t>下降28.12%</w:t>
      </w:r>
      <w:r>
        <w:rPr>
          <w:rFonts w:hint="eastAsia" w:ascii="仿宋" w:hAnsi="仿宋" w:eastAsia="仿宋" w:cs="仿宋"/>
          <w:color w:val="000000"/>
          <w:sz w:val="28"/>
          <w:szCs w:val="28"/>
        </w:rPr>
        <w:t>。</w:t>
      </w:r>
      <w:r>
        <w:rPr>
          <w:rFonts w:hint="eastAsia" w:ascii="仿宋" w:hAnsi="仿宋" w:eastAsia="仿宋" w:cs="仿宋"/>
          <w:sz w:val="28"/>
          <w:szCs w:val="28"/>
        </w:rPr>
        <w:t>主要原因是2019年有3人为在职转退休，退休人员没有公用经费；2019年我单位新进复转军人1人和人才引进人员1人；2020年机关运行经费比2019年机关运行费缩减20%，所以机关运行经费与上年相比减少3.42万元。</w:t>
      </w:r>
    </w:p>
    <w:p>
      <w:pPr>
        <w:snapToGrid w:val="0"/>
        <w:spacing w:line="5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二、政府采购预算情况说明</w:t>
      </w: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政府采购预算总额80万元，其中：政府采购货物预算   0万元，政府采购工程预算0万元，政府采购服务预算80万元。</w:t>
      </w:r>
    </w:p>
    <w:p>
      <w:pPr>
        <w:snapToGrid w:val="0"/>
        <w:spacing w:line="5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三、国有资产占有使用情况说明</w:t>
      </w:r>
    </w:p>
    <w:p>
      <w:pPr>
        <w:spacing w:line="580" w:lineRule="exac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截至2019年末</w:t>
      </w:r>
      <w:r>
        <w:rPr>
          <w:rFonts w:hint="eastAsia" w:ascii="仿宋" w:hAnsi="仿宋" w:eastAsia="仿宋"/>
          <w:sz w:val="28"/>
          <w:szCs w:val="28"/>
        </w:rPr>
        <w:t xml:space="preserve">本部门共有车辆 </w:t>
      </w:r>
      <w:r>
        <w:rPr>
          <w:rFonts w:hint="default" w:ascii="仿宋" w:hAnsi="仿宋" w:eastAsia="仿宋"/>
          <w:sz w:val="28"/>
          <w:szCs w:val="28"/>
          <w:lang w:val="en-US"/>
        </w:rPr>
        <w:t>6</w:t>
      </w:r>
      <w:r>
        <w:rPr>
          <w:rFonts w:hint="eastAsia" w:ascii="仿宋" w:hAnsi="仿宋" w:eastAsia="仿宋"/>
          <w:sz w:val="28"/>
          <w:szCs w:val="28"/>
        </w:rPr>
        <w:t>辆，其中，部级领导干部用车</w:t>
      </w:r>
      <w:r>
        <w:rPr>
          <w:rFonts w:hint="default" w:ascii="仿宋" w:hAnsi="仿宋" w:eastAsia="仿宋"/>
          <w:sz w:val="28"/>
          <w:szCs w:val="28"/>
          <w:lang w:val="en-US"/>
        </w:rPr>
        <w:t>0</w:t>
      </w:r>
      <w:r>
        <w:rPr>
          <w:rFonts w:hint="eastAsia" w:ascii="仿宋" w:hAnsi="仿宋" w:eastAsia="仿宋"/>
          <w:sz w:val="28"/>
          <w:szCs w:val="28"/>
        </w:rPr>
        <w:t>辆,比2018年</w:t>
      </w:r>
      <w:r>
        <w:rPr>
          <w:rFonts w:hint="eastAsia" w:ascii="仿宋" w:hAnsi="仿宋" w:eastAsia="仿宋"/>
          <w:color w:val="000000"/>
          <w:sz w:val="28"/>
          <w:szCs w:val="28"/>
        </w:rPr>
        <w:t>增加（减少）0</w:t>
      </w:r>
      <w:r>
        <w:rPr>
          <w:rFonts w:hint="eastAsia" w:ascii="仿宋" w:hAnsi="仿宋" w:eastAsia="仿宋"/>
          <w:sz w:val="28"/>
          <w:szCs w:val="28"/>
        </w:rPr>
        <w:t>辆</w:t>
      </w:r>
      <w:r>
        <w:rPr>
          <w:rFonts w:hint="eastAsia" w:ascii="仿宋" w:hAnsi="仿宋" w:eastAsia="仿宋"/>
          <w:color w:val="000000"/>
          <w:sz w:val="28"/>
          <w:szCs w:val="28"/>
        </w:rPr>
        <w:t>;</w:t>
      </w:r>
      <w:r>
        <w:rPr>
          <w:rFonts w:hint="eastAsia" w:ascii="仿宋" w:hAnsi="仿宋" w:eastAsia="仿宋"/>
          <w:sz w:val="28"/>
          <w:szCs w:val="28"/>
        </w:rPr>
        <w:t>一般公务用车 1辆，比2018年</w:t>
      </w:r>
      <w:r>
        <w:rPr>
          <w:rFonts w:hint="eastAsia" w:ascii="仿宋" w:hAnsi="仿宋" w:eastAsia="仿宋"/>
          <w:sz w:val="28"/>
          <w:szCs w:val="28"/>
          <w:lang w:eastAsia="zh-CN"/>
        </w:rPr>
        <w:t>末</w:t>
      </w:r>
      <w:r>
        <w:rPr>
          <w:rFonts w:hint="eastAsia" w:ascii="仿宋" w:hAnsi="仿宋" w:eastAsia="仿宋"/>
          <w:color w:val="000000"/>
          <w:sz w:val="28"/>
          <w:szCs w:val="28"/>
        </w:rPr>
        <w:t>增加（减少）</w:t>
      </w:r>
      <w:r>
        <w:rPr>
          <w:rFonts w:hint="eastAsia" w:ascii="仿宋" w:hAnsi="仿宋" w:eastAsia="仿宋"/>
          <w:sz w:val="28"/>
          <w:szCs w:val="28"/>
        </w:rPr>
        <w:t>0辆</w:t>
      </w:r>
      <w:r>
        <w:rPr>
          <w:rFonts w:hint="eastAsia" w:ascii="仿宋" w:hAnsi="仿宋" w:eastAsia="仿宋"/>
          <w:color w:val="000000"/>
          <w:sz w:val="28"/>
          <w:szCs w:val="28"/>
        </w:rPr>
        <w:t>;</w:t>
      </w:r>
      <w:r>
        <w:rPr>
          <w:rFonts w:hint="eastAsia" w:ascii="仿宋" w:hAnsi="仿宋" w:eastAsia="仿宋"/>
          <w:sz w:val="28"/>
          <w:szCs w:val="28"/>
        </w:rPr>
        <w:t>一般执法执勤用车0辆，比2018年</w:t>
      </w:r>
      <w:r>
        <w:rPr>
          <w:rFonts w:hint="eastAsia" w:ascii="仿宋" w:hAnsi="仿宋" w:eastAsia="仿宋"/>
          <w:sz w:val="28"/>
          <w:szCs w:val="28"/>
          <w:lang w:eastAsia="zh-CN"/>
        </w:rPr>
        <w:t>末</w:t>
      </w:r>
      <w:r>
        <w:rPr>
          <w:rFonts w:hint="eastAsia" w:ascii="仿宋" w:hAnsi="仿宋" w:eastAsia="仿宋"/>
          <w:color w:val="000000"/>
          <w:sz w:val="28"/>
          <w:szCs w:val="28"/>
        </w:rPr>
        <w:t>增加（减少）0</w:t>
      </w:r>
      <w:r>
        <w:rPr>
          <w:rFonts w:hint="eastAsia" w:ascii="仿宋" w:hAnsi="仿宋" w:eastAsia="仿宋"/>
          <w:sz w:val="28"/>
          <w:szCs w:val="28"/>
        </w:rPr>
        <w:t>辆</w:t>
      </w:r>
      <w:r>
        <w:rPr>
          <w:rFonts w:hint="eastAsia" w:ascii="仿宋" w:hAnsi="仿宋" w:eastAsia="仿宋"/>
          <w:color w:val="000000"/>
          <w:sz w:val="28"/>
          <w:szCs w:val="28"/>
        </w:rPr>
        <w:t>;</w:t>
      </w:r>
      <w:r>
        <w:rPr>
          <w:rFonts w:hint="eastAsia" w:ascii="仿宋" w:hAnsi="仿宋" w:eastAsia="仿宋"/>
          <w:sz w:val="28"/>
          <w:szCs w:val="28"/>
        </w:rPr>
        <w:t>特种专业技术用车0辆，比2018</w:t>
      </w:r>
      <w:r>
        <w:rPr>
          <w:rFonts w:hint="eastAsia" w:ascii="仿宋" w:hAnsi="仿宋" w:eastAsia="仿宋"/>
          <w:sz w:val="28"/>
          <w:szCs w:val="28"/>
          <w:lang w:eastAsia="zh-CN"/>
        </w:rPr>
        <w:t>末</w:t>
      </w:r>
      <w:r>
        <w:rPr>
          <w:rFonts w:hint="eastAsia" w:ascii="仿宋" w:hAnsi="仿宋" w:eastAsia="仿宋"/>
          <w:color w:val="000000"/>
          <w:sz w:val="28"/>
          <w:szCs w:val="28"/>
        </w:rPr>
        <w:t>增加（减少）0</w:t>
      </w:r>
      <w:r>
        <w:rPr>
          <w:rFonts w:hint="eastAsia" w:ascii="仿宋" w:hAnsi="仿宋" w:eastAsia="仿宋"/>
          <w:sz w:val="28"/>
          <w:szCs w:val="28"/>
        </w:rPr>
        <w:t>辆</w:t>
      </w:r>
      <w:r>
        <w:rPr>
          <w:rFonts w:hint="eastAsia" w:ascii="仿宋" w:hAnsi="仿宋" w:eastAsia="仿宋"/>
          <w:color w:val="000000"/>
          <w:sz w:val="28"/>
          <w:szCs w:val="28"/>
        </w:rPr>
        <w:t>;</w:t>
      </w:r>
      <w:r>
        <w:rPr>
          <w:rFonts w:hint="eastAsia" w:ascii="仿宋" w:hAnsi="仿宋" w:eastAsia="仿宋"/>
          <w:sz w:val="28"/>
          <w:szCs w:val="28"/>
        </w:rPr>
        <w:t>其他用车5辆，其他用车主要是清洁车2辆，巡逻车3辆</w:t>
      </w:r>
      <w:r>
        <w:rPr>
          <w:rFonts w:hint="eastAsia" w:ascii="仿宋" w:hAnsi="仿宋" w:eastAsia="仿宋"/>
          <w:color w:val="000000"/>
          <w:sz w:val="28"/>
          <w:szCs w:val="28"/>
        </w:rPr>
        <w:t>，</w:t>
      </w:r>
      <w:r>
        <w:rPr>
          <w:rFonts w:hint="eastAsia" w:ascii="仿宋" w:hAnsi="仿宋" w:eastAsia="仿宋"/>
          <w:sz w:val="28"/>
          <w:szCs w:val="28"/>
        </w:rPr>
        <w:t>比2018年</w:t>
      </w:r>
      <w:r>
        <w:rPr>
          <w:rFonts w:hint="eastAsia" w:ascii="仿宋" w:hAnsi="仿宋" w:eastAsia="仿宋"/>
          <w:sz w:val="28"/>
          <w:szCs w:val="28"/>
          <w:lang w:eastAsia="zh-CN"/>
        </w:rPr>
        <w:t>末</w:t>
      </w:r>
      <w:r>
        <w:rPr>
          <w:rFonts w:hint="eastAsia" w:ascii="仿宋" w:hAnsi="仿宋" w:eastAsia="仿宋"/>
          <w:color w:val="000000"/>
          <w:sz w:val="28"/>
          <w:szCs w:val="28"/>
        </w:rPr>
        <w:t>增加</w:t>
      </w:r>
      <w:r>
        <w:rPr>
          <w:rFonts w:hint="eastAsia" w:ascii="仿宋" w:hAnsi="仿宋" w:eastAsia="仿宋"/>
          <w:color w:val="000000"/>
          <w:sz w:val="28"/>
          <w:szCs w:val="28"/>
          <w:lang w:eastAsia="zh-CN"/>
        </w:rPr>
        <w:t>（减少）</w:t>
      </w:r>
      <w:r>
        <w:rPr>
          <w:rFonts w:hint="eastAsia" w:ascii="仿宋" w:hAnsi="仿宋" w:eastAsia="仿宋"/>
          <w:color w:val="000000"/>
          <w:sz w:val="28"/>
          <w:szCs w:val="28"/>
          <w:lang w:val="en-US" w:eastAsia="zh-CN"/>
        </w:rPr>
        <w:t>0</w:t>
      </w:r>
      <w:r>
        <w:rPr>
          <w:rFonts w:hint="eastAsia" w:ascii="仿宋" w:hAnsi="仿宋" w:eastAsia="仿宋"/>
          <w:sz w:val="28"/>
          <w:szCs w:val="28"/>
        </w:rPr>
        <w:t>辆</w:t>
      </w:r>
      <w:r>
        <w:rPr>
          <w:rFonts w:hint="eastAsia" w:ascii="仿宋" w:hAnsi="仿宋" w:eastAsia="仿宋"/>
          <w:sz w:val="28"/>
          <w:szCs w:val="28"/>
          <w:lang w:eastAsia="zh-CN"/>
        </w:rPr>
        <w:t>，</w:t>
      </w:r>
      <w:r>
        <w:rPr>
          <w:rFonts w:hint="eastAsia" w:ascii="仿宋" w:hAnsi="仿宋" w:eastAsia="仿宋"/>
          <w:sz w:val="28"/>
          <w:szCs w:val="28"/>
        </w:rPr>
        <w:t>单位价值50万元以上通用设备 0台（套），比2018年</w:t>
      </w:r>
      <w:r>
        <w:rPr>
          <w:rFonts w:hint="eastAsia" w:ascii="仿宋" w:hAnsi="仿宋" w:eastAsia="仿宋"/>
          <w:sz w:val="28"/>
          <w:szCs w:val="28"/>
          <w:lang w:eastAsia="zh-CN"/>
        </w:rPr>
        <w:t>末</w:t>
      </w:r>
      <w:r>
        <w:rPr>
          <w:rFonts w:hint="eastAsia" w:ascii="仿宋" w:hAnsi="仿宋" w:eastAsia="仿宋"/>
          <w:color w:val="000000"/>
          <w:sz w:val="28"/>
          <w:szCs w:val="28"/>
        </w:rPr>
        <w:t>增加（减少）</w:t>
      </w:r>
      <w:r>
        <w:rPr>
          <w:rFonts w:hint="eastAsia" w:ascii="仿宋" w:hAnsi="仿宋" w:eastAsia="仿宋"/>
          <w:sz w:val="28"/>
          <w:szCs w:val="28"/>
        </w:rPr>
        <w:t>0</w:t>
      </w:r>
      <w:r>
        <w:rPr>
          <w:rFonts w:hint="eastAsia" w:ascii="仿宋" w:hAnsi="仿宋" w:eastAsia="仿宋"/>
          <w:color w:val="000000"/>
          <w:sz w:val="28"/>
          <w:szCs w:val="28"/>
        </w:rPr>
        <w:t>台（套）;</w:t>
      </w:r>
      <w:r>
        <w:rPr>
          <w:rFonts w:hint="eastAsia" w:ascii="仿宋" w:hAnsi="仿宋" w:eastAsia="仿宋"/>
          <w:sz w:val="28"/>
          <w:szCs w:val="28"/>
        </w:rPr>
        <w:t>单位价值</w:t>
      </w:r>
      <w:r>
        <w:rPr>
          <w:rFonts w:hint="eastAsia" w:ascii="仿宋" w:hAnsi="仿宋" w:eastAsia="仿宋"/>
          <w:sz w:val="28"/>
          <w:szCs w:val="28"/>
          <w:lang w:val="en-US" w:eastAsia="zh-CN"/>
        </w:rPr>
        <w:t>2</w:t>
      </w:r>
      <w:r>
        <w:rPr>
          <w:rFonts w:hint="eastAsia" w:ascii="仿宋" w:hAnsi="仿宋" w:eastAsia="仿宋"/>
          <w:sz w:val="28"/>
          <w:szCs w:val="28"/>
        </w:rPr>
        <w:t>00万元以上</w:t>
      </w:r>
      <w:r>
        <w:rPr>
          <w:rFonts w:hint="eastAsia" w:ascii="仿宋" w:hAnsi="仿宋" w:eastAsia="仿宋"/>
          <w:sz w:val="28"/>
          <w:szCs w:val="28"/>
          <w:lang w:eastAsia="zh-CN"/>
        </w:rPr>
        <w:t>大型</w:t>
      </w:r>
      <w:r>
        <w:rPr>
          <w:rFonts w:hint="eastAsia" w:ascii="仿宋" w:hAnsi="仿宋" w:eastAsia="仿宋"/>
          <w:sz w:val="28"/>
          <w:szCs w:val="28"/>
        </w:rPr>
        <w:t>专用设备0台（套），比2018年</w:t>
      </w:r>
      <w:r>
        <w:rPr>
          <w:rFonts w:hint="eastAsia" w:ascii="仿宋" w:hAnsi="仿宋" w:eastAsia="仿宋"/>
          <w:sz w:val="28"/>
          <w:szCs w:val="28"/>
          <w:lang w:eastAsia="zh-CN"/>
        </w:rPr>
        <w:t>末</w:t>
      </w:r>
      <w:r>
        <w:rPr>
          <w:rFonts w:hint="eastAsia" w:ascii="仿宋" w:hAnsi="仿宋" w:eastAsia="仿宋"/>
          <w:color w:val="000000"/>
          <w:sz w:val="28"/>
          <w:szCs w:val="28"/>
        </w:rPr>
        <w:t>增加（减少）0台（套）。</w:t>
      </w:r>
    </w:p>
    <w:p>
      <w:pPr>
        <w:snapToGrid w:val="0"/>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四、2020年度项目支出绩效目标情况说明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项目支出预算绩效目标填报情况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2020年，填报绩效目标的预算项目8个，</w:t>
      </w:r>
      <w:bookmarkStart w:id="0" w:name="OLE_LINK1"/>
      <w:r>
        <w:rPr>
          <w:rFonts w:hint="eastAsia" w:ascii="仿宋" w:hAnsi="仿宋" w:eastAsia="仿宋" w:cs="仿宋"/>
          <w:sz w:val="28"/>
          <w:szCs w:val="28"/>
        </w:rPr>
        <w:t>公开绩效目标8个，公开项目占全部预算项目的100%。</w:t>
      </w:r>
      <w:bookmarkEnd w:id="0"/>
      <w:r>
        <w:rPr>
          <w:rFonts w:hint="eastAsia" w:ascii="仿宋" w:hAnsi="仿宋" w:eastAsia="仿宋" w:cs="仿宋"/>
          <w:sz w:val="28"/>
          <w:szCs w:val="28"/>
        </w:rPr>
        <w:t>公开填报绩效目标的项目支出预算1018.68万元，占全部项目支出预算的100%。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（公开填报绩效目标的项目支出资金量不得低于预算批复资金的80%。）</w:t>
      </w:r>
    </w:p>
    <w:p>
      <w:pPr>
        <w:adjustRightInd w:val="0"/>
        <w:snapToGrid w:val="0"/>
        <w:spacing w:line="560" w:lineRule="exact"/>
        <w:jc w:val="center"/>
        <w:rPr>
          <w:rFonts w:hint="eastAsia" w:ascii="黑体" w:hAnsi="黑体" w:eastAsia="黑体" w:cs="黑体"/>
          <w:b/>
          <w:color w:val="000000"/>
          <w:sz w:val="28"/>
          <w:szCs w:val="28"/>
        </w:rPr>
      </w:pPr>
      <w:r>
        <w:rPr>
          <w:rFonts w:hint="eastAsia" w:ascii="黑体" w:hAnsi="黑体" w:eastAsia="黑体" w:cs="黑体"/>
          <w:b/>
          <w:color w:val="000000"/>
          <w:sz w:val="28"/>
          <w:szCs w:val="28"/>
        </w:rPr>
        <w:t>第四部分  名词解释</w:t>
      </w:r>
    </w:p>
    <w:p>
      <w:pPr>
        <w:snapToGrid w:val="0"/>
        <w:spacing w:line="560" w:lineRule="exact"/>
        <w:jc w:val="center"/>
        <w:rPr>
          <w:rFonts w:hint="eastAsia" w:ascii="仿宋" w:hAnsi="仿宋" w:eastAsia="仿宋" w:cs="仿宋"/>
          <w:color w:val="000000"/>
          <w:sz w:val="28"/>
          <w:szCs w:val="28"/>
        </w:rPr>
      </w:pPr>
    </w:p>
    <w:p>
      <w:pPr>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一、一般公共预算财政拨款收入：是指自治区财政当年拨付的资金。</w:t>
      </w:r>
    </w:p>
    <w:p>
      <w:pPr>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二、事业收入：是指事业单位开展专业业务活动及辅助活动所取得的收入。</w:t>
      </w:r>
    </w:p>
    <w:p>
      <w:pPr>
        <w:snapToGrid w:val="0"/>
        <w:spacing w:line="5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三、事业单位经营收入：是指事业单位在专业业务活动及其辅助活动之外开展非独立核算经营活动取得的收入。</w:t>
      </w:r>
    </w:p>
    <w:p>
      <w:pPr>
        <w:snapToGrid w:val="0"/>
        <w:spacing w:line="5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四、其他收入 ：是指除上述“一般公共预算财政拨款收入”、“事业收入”、“事业单位经营收入”等以外的收入。主要是指按规定动用的售房收入、存款利息收入等。</w:t>
      </w:r>
    </w:p>
    <w:p>
      <w:pPr>
        <w:snapToGrid w:val="0"/>
        <w:spacing w:line="5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五、用事业基金弥补收支差额：是指事业单位在预计用当年的“一般公共预算财政拨款收入”、“财政拨款结转和结余资金”、“事业收入”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六、上年结转和结余：是指以前年度尚未完成、结转到本年仍按原规定用途继续使用的资金。</w:t>
      </w:r>
    </w:p>
    <w:p>
      <w:pPr>
        <w:snapToGrid w:val="0"/>
        <w:spacing w:line="560" w:lineRule="exact"/>
        <w:ind w:firstLine="645"/>
        <w:rPr>
          <w:rFonts w:hint="eastAsia" w:ascii="仿宋" w:hAnsi="仿宋" w:eastAsia="仿宋" w:cs="仿宋"/>
          <w:sz w:val="28"/>
          <w:szCs w:val="28"/>
        </w:rPr>
      </w:pPr>
      <w:r>
        <w:rPr>
          <w:rFonts w:hint="eastAsia" w:ascii="仿宋" w:hAnsi="仿宋" w:eastAsia="仿宋" w:cs="仿宋"/>
          <w:sz w:val="28"/>
          <w:szCs w:val="28"/>
        </w:rPr>
        <w:t>七、基本支出：是指为保障机构正常运转，完成日常工作任务而发生的人员支出和共用支出。</w:t>
      </w:r>
    </w:p>
    <w:p>
      <w:pPr>
        <w:snapToGrid w:val="0"/>
        <w:spacing w:line="560" w:lineRule="exact"/>
        <w:ind w:firstLine="645"/>
        <w:rPr>
          <w:rFonts w:hint="eastAsia" w:ascii="仿宋" w:hAnsi="仿宋" w:eastAsia="仿宋" w:cs="仿宋"/>
          <w:sz w:val="28"/>
          <w:szCs w:val="28"/>
        </w:rPr>
      </w:pPr>
      <w:r>
        <w:rPr>
          <w:rFonts w:hint="eastAsia" w:ascii="仿宋" w:hAnsi="仿宋" w:eastAsia="仿宋" w:cs="仿宋"/>
          <w:sz w:val="28"/>
          <w:szCs w:val="28"/>
        </w:rPr>
        <w:t>八、项目支出：是指基本支出之外，为完成特定行政任务和事业发展目标所发生的支出。</w:t>
      </w:r>
    </w:p>
    <w:p>
      <w:pPr>
        <w:snapToGrid w:val="0"/>
        <w:spacing w:line="560" w:lineRule="exact"/>
        <w:ind w:firstLine="645"/>
        <w:rPr>
          <w:rFonts w:hint="eastAsia" w:ascii="仿宋" w:hAnsi="仿宋" w:eastAsia="仿宋" w:cs="仿宋"/>
          <w:sz w:val="28"/>
          <w:szCs w:val="28"/>
        </w:rPr>
      </w:pPr>
      <w:r>
        <w:rPr>
          <w:rFonts w:hint="eastAsia" w:ascii="仿宋" w:hAnsi="仿宋" w:eastAsia="仿宋" w:cs="仿宋"/>
          <w:sz w:val="28"/>
          <w:szCs w:val="28"/>
        </w:rPr>
        <w:t>九、“三公”经费：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机关运行经费：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十一、工资福利支出（支出经济分类科目类级）：反映单位开支的在职职工和编制外长期聘用人员的各类活动报酬，以及为上述人员缴纳的各项社会保险费等。</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十二、商品和服务支出（支出经济分类科目类级）：反映单位购买商品和服务的支出（不包括用于购置固定资产的支出、战略性和应急储备支出）。</w:t>
      </w:r>
    </w:p>
    <w:p>
      <w:pPr>
        <w:snapToGrid w:val="0"/>
        <w:spacing w:line="560" w:lineRule="exact"/>
        <w:ind w:firstLine="560" w:firstLineChars="200"/>
        <w:rPr>
          <w:rFonts w:hint="eastAsia" w:ascii="仿宋" w:hAnsi="仿宋" w:eastAsia="仿宋" w:cs="仿宋"/>
          <w:sz w:val="28"/>
          <w:szCs w:val="28"/>
        </w:rPr>
      </w:pPr>
    </w:p>
    <w:p>
      <w:pPr>
        <w:snapToGrid w:val="0"/>
        <w:spacing w:line="560" w:lineRule="exact"/>
        <w:jc w:val="center"/>
        <w:rPr>
          <w:rFonts w:hint="eastAsia" w:ascii="黑体" w:hAnsi="黑体" w:eastAsia="黑体" w:cs="黑体"/>
          <w:b/>
          <w:color w:val="000000"/>
          <w:sz w:val="28"/>
          <w:szCs w:val="28"/>
        </w:rPr>
      </w:pPr>
      <w:r>
        <w:rPr>
          <w:rFonts w:hint="eastAsia" w:ascii="黑体" w:hAnsi="黑体" w:eastAsia="黑体" w:cs="黑体"/>
          <w:b/>
          <w:color w:val="000000"/>
          <w:sz w:val="28"/>
          <w:szCs w:val="28"/>
        </w:rPr>
        <w:t>第五部分  预算公开联系方式及信息反馈渠道</w:t>
      </w:r>
    </w:p>
    <w:p>
      <w:pPr>
        <w:snapToGrid w:val="0"/>
        <w:spacing w:line="560" w:lineRule="exact"/>
        <w:jc w:val="center"/>
        <w:rPr>
          <w:rFonts w:hint="eastAsia" w:ascii="仿宋" w:hAnsi="仿宋" w:eastAsia="仿宋" w:cs="仿宋"/>
          <w:b/>
          <w:color w:val="000000"/>
          <w:sz w:val="28"/>
          <w:szCs w:val="28"/>
        </w:rPr>
      </w:pPr>
    </w:p>
    <w:p>
      <w:pPr>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本单位预算公开信息反馈和联系方式：</w:t>
      </w:r>
    </w:p>
    <w:p>
      <w:pPr>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联系人：李桂芝        联系电话：3992340</w:t>
      </w:r>
    </w:p>
    <w:p>
      <w:pPr>
        <w:adjustRightInd w:val="0"/>
        <w:snapToGrid w:val="0"/>
        <w:spacing w:line="560" w:lineRule="exact"/>
        <w:ind w:left="160" w:leftChars="76" w:firstLine="420" w:firstLineChars="150"/>
        <w:rPr>
          <w:rFonts w:hint="eastAsia" w:ascii="仿宋" w:hAnsi="仿宋" w:eastAsia="仿宋" w:cs="仿宋"/>
          <w:sz w:val="28"/>
          <w:szCs w:val="28"/>
        </w:rPr>
      </w:pPr>
    </w:p>
    <w:p>
      <w:pPr>
        <w:snapToGrid w:val="0"/>
        <w:spacing w:line="560" w:lineRule="exact"/>
        <w:jc w:val="center"/>
        <w:rPr>
          <w:rFonts w:hint="eastAsia" w:ascii="黑体" w:hAnsi="黑体" w:eastAsia="黑体" w:cs="黑体"/>
          <w:b/>
          <w:color w:val="000000"/>
          <w:sz w:val="28"/>
          <w:szCs w:val="28"/>
        </w:rPr>
      </w:pPr>
      <w:r>
        <w:rPr>
          <w:rFonts w:hint="eastAsia" w:ascii="黑体" w:hAnsi="黑体" w:eastAsia="黑体" w:cs="黑体"/>
          <w:b/>
          <w:color w:val="000000"/>
          <w:sz w:val="28"/>
          <w:szCs w:val="28"/>
        </w:rPr>
        <w:t>第六部分  部门预算公开表</w:t>
      </w:r>
    </w:p>
    <w:p>
      <w:pPr>
        <w:snapToGrid w:val="0"/>
        <w:spacing w:line="560" w:lineRule="exact"/>
        <w:ind w:firstLine="560" w:firstLineChars="200"/>
        <w:rPr>
          <w:rFonts w:hint="eastAsia" w:ascii="仿宋" w:hAnsi="仿宋" w:eastAsia="仿宋" w:cs="仿宋"/>
          <w:color w:val="000000"/>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详见附表：部门预算公开8张表以总表形式上传，项目支出绩效目标表以总表形式上传。（样式见自治区部门预算公开样式）</w:t>
      </w:r>
    </w:p>
    <w:p>
      <w:pPr>
        <w:spacing w:line="580" w:lineRule="exact"/>
        <w:ind w:firstLine="560" w:firstLineChars="200"/>
        <w:rPr>
          <w:rFonts w:hint="eastAsia" w:ascii="仿宋" w:hAnsi="仿宋" w:eastAsia="仿宋" w:cs="仿宋"/>
          <w:sz w:val="28"/>
          <w:szCs w:val="28"/>
        </w:rPr>
      </w:pPr>
    </w:p>
    <w:p>
      <w:pPr>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55036"/>
      <w:docPartObj>
        <w:docPartGallery w:val="autotext"/>
      </w:docPartObj>
    </w:sdtPr>
    <w:sdtContent>
      <w:p>
        <w:pPr>
          <w:pStyle w:val="2"/>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77"/>
    <w:rsid w:val="000622E3"/>
    <w:rsid w:val="000B0689"/>
    <w:rsid w:val="000B559C"/>
    <w:rsid w:val="00131259"/>
    <w:rsid w:val="00137DC1"/>
    <w:rsid w:val="001E1B7D"/>
    <w:rsid w:val="001E49DA"/>
    <w:rsid w:val="00215C5B"/>
    <w:rsid w:val="00231520"/>
    <w:rsid w:val="00275B45"/>
    <w:rsid w:val="002773E0"/>
    <w:rsid w:val="00295C81"/>
    <w:rsid w:val="002C5301"/>
    <w:rsid w:val="002D1278"/>
    <w:rsid w:val="002F08CE"/>
    <w:rsid w:val="0033479B"/>
    <w:rsid w:val="003816A0"/>
    <w:rsid w:val="00390477"/>
    <w:rsid w:val="003B4CF2"/>
    <w:rsid w:val="003E360B"/>
    <w:rsid w:val="003F6D99"/>
    <w:rsid w:val="00401014"/>
    <w:rsid w:val="00417383"/>
    <w:rsid w:val="0043551F"/>
    <w:rsid w:val="00462520"/>
    <w:rsid w:val="004A4461"/>
    <w:rsid w:val="004E4A40"/>
    <w:rsid w:val="005043A7"/>
    <w:rsid w:val="005541B3"/>
    <w:rsid w:val="005914A2"/>
    <w:rsid w:val="00601DDB"/>
    <w:rsid w:val="006316D2"/>
    <w:rsid w:val="00653F0A"/>
    <w:rsid w:val="006727D5"/>
    <w:rsid w:val="00682E48"/>
    <w:rsid w:val="006A0EAA"/>
    <w:rsid w:val="007A39A8"/>
    <w:rsid w:val="008337D3"/>
    <w:rsid w:val="00861CF6"/>
    <w:rsid w:val="008F23F1"/>
    <w:rsid w:val="00921474"/>
    <w:rsid w:val="00923FAC"/>
    <w:rsid w:val="00925760"/>
    <w:rsid w:val="00977411"/>
    <w:rsid w:val="009B53EA"/>
    <w:rsid w:val="009E77B9"/>
    <w:rsid w:val="009F3C49"/>
    <w:rsid w:val="00A2794E"/>
    <w:rsid w:val="00A557DB"/>
    <w:rsid w:val="00A71DF9"/>
    <w:rsid w:val="00B42FFA"/>
    <w:rsid w:val="00B63ABD"/>
    <w:rsid w:val="00BE7B07"/>
    <w:rsid w:val="00C14E05"/>
    <w:rsid w:val="00C40854"/>
    <w:rsid w:val="00C90C58"/>
    <w:rsid w:val="00C96903"/>
    <w:rsid w:val="00CA423B"/>
    <w:rsid w:val="00CF3240"/>
    <w:rsid w:val="00D2193E"/>
    <w:rsid w:val="00D24745"/>
    <w:rsid w:val="00D33913"/>
    <w:rsid w:val="00D439CA"/>
    <w:rsid w:val="00DA7FE6"/>
    <w:rsid w:val="00DB4F13"/>
    <w:rsid w:val="00DF3764"/>
    <w:rsid w:val="00E33245"/>
    <w:rsid w:val="00E440D8"/>
    <w:rsid w:val="00E520C2"/>
    <w:rsid w:val="00E62260"/>
    <w:rsid w:val="00EC6E89"/>
    <w:rsid w:val="00F25653"/>
    <w:rsid w:val="00FB68BE"/>
    <w:rsid w:val="00FC7B9B"/>
    <w:rsid w:val="00FF6F8E"/>
    <w:rsid w:val="2DB1770A"/>
    <w:rsid w:val="3E0F604A"/>
    <w:rsid w:val="56955A19"/>
    <w:rsid w:val="5B92621C"/>
    <w:rsid w:val="5BB57478"/>
    <w:rsid w:val="625066BE"/>
    <w:rsid w:val="653C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675</Words>
  <Characters>3853</Characters>
  <Lines>32</Lines>
  <Paragraphs>9</Paragraphs>
  <TotalTime>7</TotalTime>
  <ScaleCrop>false</ScaleCrop>
  <LinksUpToDate>false</LinksUpToDate>
  <CharactersWithSpaces>4519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2020-05-06T02:12:00Z</dcterms:created>
  <dc:creator>pc3</dc:creator>
  <cp:lastModifiedBy>Administrator</cp:lastModifiedBy>
  <dcterms:modified xsi:type="dcterms:W3CDTF">2020-09-24T02:37:51Z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